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DCA0" w14:textId="7EED7B1E" w:rsidR="2DBF203F" w:rsidRDefault="195E2B0E" w:rsidP="195E2B0E">
      <w:pPr>
        <w:pStyle w:val="Title"/>
        <w:spacing w:before="0" w:line="259" w:lineRule="auto"/>
        <w:ind w:left="0" w:right="0"/>
        <w:jc w:val="center"/>
        <w:rPr>
          <w:sz w:val="24"/>
          <w:szCs w:val="24"/>
        </w:rPr>
      </w:pPr>
      <w:r w:rsidRPr="195E2B0E">
        <w:rPr>
          <w:sz w:val="28"/>
          <w:szCs w:val="28"/>
        </w:rPr>
        <w:t>Request for Qualifications</w:t>
      </w:r>
    </w:p>
    <w:p w14:paraId="36758D92" w14:textId="3F1CBBAF" w:rsidR="2DBF203F" w:rsidRDefault="195E2B0E" w:rsidP="195E2B0E">
      <w:pPr>
        <w:pStyle w:val="Title"/>
        <w:spacing w:before="0" w:line="259" w:lineRule="auto"/>
        <w:ind w:left="0" w:right="0"/>
        <w:jc w:val="center"/>
        <w:rPr>
          <w:sz w:val="24"/>
          <w:szCs w:val="24"/>
        </w:rPr>
      </w:pPr>
      <w:r w:rsidRPr="195E2B0E">
        <w:rPr>
          <w:sz w:val="28"/>
          <w:szCs w:val="28"/>
        </w:rPr>
        <w:t xml:space="preserve">Professional Engineering </w:t>
      </w:r>
      <w:r w:rsidR="00B46BB4">
        <w:rPr>
          <w:sz w:val="28"/>
          <w:szCs w:val="28"/>
        </w:rPr>
        <w:t>Services</w:t>
      </w:r>
    </w:p>
    <w:p w14:paraId="75D8B54F" w14:textId="77777777" w:rsidR="00B02A96" w:rsidRDefault="00B02A96" w:rsidP="195E2B0E">
      <w:pPr>
        <w:pStyle w:val="BodyText"/>
        <w:rPr>
          <w:b/>
          <w:bCs/>
        </w:rPr>
      </w:pPr>
    </w:p>
    <w:p w14:paraId="32F3B29B" w14:textId="35B8DAE4" w:rsidR="00924FEC" w:rsidRPr="00924FEC" w:rsidRDefault="000E55AF" w:rsidP="00924FEC">
      <w:pPr>
        <w:pStyle w:val="BodyText"/>
      </w:pPr>
      <w:r>
        <w:t>The City of Annona</w:t>
      </w:r>
      <w:r w:rsidR="1B5898BE" w:rsidRPr="00924FEC">
        <w:t>,</w:t>
      </w:r>
      <w:r w:rsidR="1B5898BE" w:rsidRPr="000E55AF">
        <w:rPr>
          <w:color w:val="000000" w:themeColor="text1"/>
        </w:rPr>
        <w:t xml:space="preserve"> TX </w:t>
      </w:r>
      <w:r w:rsidRPr="000E55AF">
        <w:rPr>
          <w:color w:val="000000" w:themeColor="text1"/>
        </w:rPr>
        <w:t xml:space="preserve">(The City) </w:t>
      </w:r>
      <w:r w:rsidR="1B5898BE" w:rsidRPr="000E55AF">
        <w:rPr>
          <w:color w:val="000000" w:themeColor="text1"/>
        </w:rPr>
        <w:t>req</w:t>
      </w:r>
      <w:r w:rsidR="1B5898BE" w:rsidRPr="00924FEC">
        <w:t>uests the submittal of statements of qualifications, which may lead to the award of a contract to provide professional engineering services in accordance with Chapter 2254 of the Texas Government Code (Professional Services Act)</w:t>
      </w:r>
      <w:r w:rsidR="00924FEC" w:rsidRPr="00924FEC">
        <w:t xml:space="preserve"> and Title 29 CFR Part</w:t>
      </w:r>
      <w:r w:rsidR="00924FEC">
        <w:t xml:space="preserve"> </w:t>
      </w:r>
      <w:r w:rsidR="00924FEC" w:rsidRPr="00924FEC">
        <w:t>97 (Uniform Administrative Requirements for Grants and Cooperative Agreements to State and Local Governments).</w:t>
      </w:r>
    </w:p>
    <w:p w14:paraId="75D8B552" w14:textId="7A7DC738" w:rsidR="00B02A96" w:rsidRPr="00924FEC" w:rsidRDefault="00B02A96" w:rsidP="00073544">
      <w:pPr>
        <w:pStyle w:val="BodyText"/>
      </w:pPr>
    </w:p>
    <w:p w14:paraId="2B73D94F" w14:textId="1B6AF3CB" w:rsidR="00595164" w:rsidRDefault="6F9C939F" w:rsidP="571DFEF7">
      <w:pPr>
        <w:pStyle w:val="BodyText"/>
        <w:rPr>
          <w:color w:val="FF0000"/>
        </w:rPr>
      </w:pPr>
      <w:r w:rsidRPr="00924FEC">
        <w:t xml:space="preserve">The services to be obtained under this contract requires a qualified engineer or engineering firm registered to practice in the State of Texas. The </w:t>
      </w:r>
      <w:r w:rsidR="000E55AF">
        <w:t>City</w:t>
      </w:r>
      <w:r w:rsidR="00924FEC" w:rsidRPr="00924FEC">
        <w:t xml:space="preserve"> wishes to enter into a contract with a qualified firm to provide professional services related to the </w:t>
      </w:r>
      <w:r w:rsidR="00621771">
        <w:t>City’s</w:t>
      </w:r>
      <w:r w:rsidR="00924FEC" w:rsidRPr="00924FEC">
        <w:t xml:space="preserve"> Texas Water </w:t>
      </w:r>
      <w:r w:rsidR="00621771">
        <w:t>Development</w:t>
      </w:r>
      <w:r w:rsidR="00924FEC" w:rsidRPr="00924FEC">
        <w:t xml:space="preserve"> Board (TWDB) Clean Water State Revolving Fund (CWSRF projec</w:t>
      </w:r>
      <w:r w:rsidR="00D21B78">
        <w:t>t</w:t>
      </w:r>
      <w:r w:rsidR="00924FEC" w:rsidRPr="00924FEC">
        <w:t>). This contract is contingent upon release of funds from</w:t>
      </w:r>
      <w:r w:rsidR="00924FEC">
        <w:t xml:space="preserve"> the TWDB. </w:t>
      </w:r>
    </w:p>
    <w:p w14:paraId="2369B780" w14:textId="77777777" w:rsidR="00595164" w:rsidRDefault="00595164" w:rsidP="00073544">
      <w:pPr>
        <w:pStyle w:val="BodyText"/>
      </w:pPr>
    </w:p>
    <w:p w14:paraId="3E0D9790" w14:textId="16B66DF1" w:rsidR="7518E83F" w:rsidRDefault="7518E83F" w:rsidP="7518E83F">
      <w:pPr>
        <w:pStyle w:val="BodyText"/>
        <w:spacing w:line="259" w:lineRule="auto"/>
      </w:pPr>
      <w:r>
        <w:t xml:space="preserve">The </w:t>
      </w:r>
      <w:r w:rsidR="00621771">
        <w:t>City</w:t>
      </w:r>
      <w:r>
        <w:t xml:space="preserve"> is expected to negotiate an agreement for services that is acceptable to the </w:t>
      </w:r>
      <w:r w:rsidR="00621771">
        <w:t>City</w:t>
      </w:r>
      <w:r>
        <w:t xml:space="preserve">. If an acceptable contract cannot be negotiated, the </w:t>
      </w:r>
      <w:r w:rsidR="00621771">
        <w:t>City</w:t>
      </w:r>
      <w:r>
        <w:t xml:space="preserve"> may formally end negotiations and begin negotiating with the next highest qualified person or firm</w:t>
      </w:r>
      <w:r w:rsidRPr="7518E83F">
        <w:t xml:space="preserve">. The </w:t>
      </w:r>
      <w:r w:rsidR="00621771">
        <w:t>City</w:t>
      </w:r>
      <w:r w:rsidRPr="7518E83F">
        <w:t xml:space="preserve"> reserves the right to refuse and reject any or all statements of qualification and to waive any or all formalities or technicalities or to accept the statement best and most advantageous to the </w:t>
      </w:r>
      <w:r w:rsidR="00621771">
        <w:t>City</w:t>
      </w:r>
      <w:r w:rsidRPr="7518E83F">
        <w:t>. The</w:t>
      </w:r>
      <w:r>
        <w:t xml:space="preserve"> statements may be held for a period of 30 days without taking action.</w:t>
      </w:r>
    </w:p>
    <w:p w14:paraId="0A7A8B4F" w14:textId="77777777" w:rsidR="00FF5377" w:rsidRDefault="00FF5377" w:rsidP="00073544">
      <w:pPr>
        <w:pStyle w:val="BodyText"/>
        <w:rPr>
          <w:sz w:val="23"/>
        </w:rPr>
      </w:pPr>
    </w:p>
    <w:p w14:paraId="523DF5DA" w14:textId="762593B0" w:rsidR="00047858" w:rsidRDefault="6F9C939F" w:rsidP="00073544">
      <w:pPr>
        <w:pStyle w:val="BodyText"/>
      </w:pPr>
      <w:r>
        <w:t xml:space="preserve">The statement of qualifications is not to </w:t>
      </w:r>
      <w:r w:rsidRPr="00924FEC">
        <w:t>exceed fifteen (15) pages, not including appendices. Include within the statement of qualifications a list of (3) three references from</w:t>
      </w:r>
      <w:r>
        <w:t xml:space="preserve"> past local public entity clients, as well as brief resumes of all employees who will or who may be assigned to provide program assistance to the </w:t>
      </w:r>
      <w:r w:rsidR="00621771">
        <w:t>City</w:t>
      </w:r>
      <w:r>
        <w:t xml:space="preserve"> on this project if your firm is awarded this contract. </w:t>
      </w:r>
    </w:p>
    <w:p w14:paraId="5262F3A6" w14:textId="53459F1C" w:rsidR="2E81B48B" w:rsidRDefault="2E81B48B" w:rsidP="2E81B48B">
      <w:pPr>
        <w:pStyle w:val="BodyText"/>
      </w:pPr>
    </w:p>
    <w:p w14:paraId="08651B94" w14:textId="47FBAA8F" w:rsidR="00047858" w:rsidRDefault="5B00F2EB" w:rsidP="5B00F2EB">
      <w:pPr>
        <w:pStyle w:val="BodyText"/>
        <w:spacing w:line="259" w:lineRule="auto"/>
      </w:pPr>
      <w:r>
        <w:t xml:space="preserve">All documents relating to this </w:t>
      </w:r>
      <w:r w:rsidRPr="008F1523">
        <w:rPr>
          <w:highlight w:val="yellow"/>
        </w:rPr>
        <w:t xml:space="preserve">Request for Qualifications will be posted </w:t>
      </w:r>
      <w:r w:rsidR="004340BE" w:rsidRPr="008F1523">
        <w:rPr>
          <w:highlight w:val="yellow"/>
        </w:rPr>
        <w:t xml:space="preserve">at the City of Annona </w:t>
      </w:r>
      <w:r w:rsidR="008F1523" w:rsidRPr="008F1523">
        <w:rPr>
          <w:highlight w:val="yellow"/>
        </w:rPr>
        <w:t>City Hall</w:t>
      </w:r>
      <w:r w:rsidRPr="008F1523">
        <w:rPr>
          <w:highlight w:val="yellow"/>
        </w:rPr>
        <w:t>.</w:t>
      </w:r>
      <w:r>
        <w:t xml:space="preserve"> It is the respondents’ sole responsibility to review this site and retrieve all related documents prior to the submittal due date. </w:t>
      </w:r>
      <w:r w:rsidR="00047858">
        <w:t>Please email a</w:t>
      </w:r>
      <w:r w:rsidR="00047858">
        <w:rPr>
          <w:spacing w:val="-3"/>
        </w:rPr>
        <w:t xml:space="preserve"> copy</w:t>
      </w:r>
      <w:r w:rsidR="00047858">
        <w:rPr>
          <w:spacing w:val="-2"/>
        </w:rPr>
        <w:t xml:space="preserve"> </w:t>
      </w:r>
      <w:r w:rsidR="00047858">
        <w:t>of</w:t>
      </w:r>
      <w:r w:rsidR="00047858">
        <w:rPr>
          <w:spacing w:val="-1"/>
        </w:rPr>
        <w:t xml:space="preserve"> </w:t>
      </w:r>
      <w:r w:rsidR="00047858">
        <w:t>the</w:t>
      </w:r>
      <w:r w:rsidR="00047858">
        <w:rPr>
          <w:spacing w:val="-3"/>
        </w:rPr>
        <w:t xml:space="preserve"> </w:t>
      </w:r>
      <w:r w:rsidR="00047858">
        <w:t>qualifications</w:t>
      </w:r>
      <w:r w:rsidR="00047858">
        <w:rPr>
          <w:spacing w:val="-4"/>
        </w:rPr>
        <w:t xml:space="preserve"> </w:t>
      </w:r>
      <w:r w:rsidR="00047858">
        <w:t xml:space="preserve">statement which details the experience and capabilities to address the services to be obtained </w:t>
      </w:r>
      <w:r w:rsidR="00047858" w:rsidRPr="00FC57AF">
        <w:rPr>
          <w:spacing w:val="-3"/>
        </w:rPr>
        <w:t>to</w:t>
      </w:r>
      <w:r w:rsidR="0085224E">
        <w:rPr>
          <w:spacing w:val="-3"/>
        </w:rPr>
        <w:t xml:space="preserve"> </w:t>
      </w:r>
      <w:proofErr w:type="spellStart"/>
      <w:r w:rsidR="0085224E">
        <w:rPr>
          <w:spacing w:val="-3"/>
        </w:rPr>
        <w:t>Pennye</w:t>
      </w:r>
      <w:proofErr w:type="spellEnd"/>
      <w:r w:rsidR="0085224E">
        <w:rPr>
          <w:spacing w:val="-3"/>
        </w:rPr>
        <w:t xml:space="preserve"> Hobbs, </w:t>
      </w:r>
      <w:hyperlink r:id="rId8" w:history="1">
        <w:r w:rsidR="0085224E" w:rsidRPr="0057229B">
          <w:rPr>
            <w:rStyle w:val="Hyperlink"/>
            <w:spacing w:val="-3"/>
          </w:rPr>
          <w:t>cityofannona@gmail.com</w:t>
        </w:r>
      </w:hyperlink>
      <w:r w:rsidR="0085224E">
        <w:rPr>
          <w:spacing w:val="-3"/>
        </w:rPr>
        <w:t xml:space="preserve">, </w:t>
      </w:r>
      <w:r w:rsidR="00047858">
        <w:rPr>
          <w:spacing w:val="-3"/>
        </w:rPr>
        <w:t>with the subject heading “</w:t>
      </w:r>
      <w:r w:rsidR="00047858" w:rsidRPr="5B00F2EB">
        <w:rPr>
          <w:i/>
          <w:iCs/>
          <w:spacing w:val="-3"/>
        </w:rPr>
        <w:t xml:space="preserve">Response to </w:t>
      </w:r>
      <w:r w:rsidR="00315C6E" w:rsidRPr="5B00F2EB">
        <w:rPr>
          <w:i/>
          <w:iCs/>
          <w:spacing w:val="-3"/>
        </w:rPr>
        <w:t xml:space="preserve">RFQ for Engineering </w:t>
      </w:r>
      <w:r w:rsidR="00924FEC">
        <w:rPr>
          <w:i/>
          <w:iCs/>
          <w:spacing w:val="-3"/>
        </w:rPr>
        <w:t>Services</w:t>
      </w:r>
      <w:r w:rsidR="00047858">
        <w:t>” no later than</w:t>
      </w:r>
      <w:r w:rsidR="53919328">
        <w:t xml:space="preserve"> </w:t>
      </w:r>
      <w:r w:rsidR="00B85F8E">
        <w:t>Friday, May 15, 2026</w:t>
      </w:r>
      <w:r w:rsidR="53919328" w:rsidRPr="4BDB5531">
        <w:t xml:space="preserve"> at </w:t>
      </w:r>
      <w:r w:rsidR="00B85F8E">
        <w:t>5 PM</w:t>
      </w:r>
      <w:r w:rsidR="53919328">
        <w:t xml:space="preserve"> local time. </w:t>
      </w:r>
    </w:p>
    <w:p w14:paraId="75D8B562" w14:textId="2A07ACF7" w:rsidR="00B02A96" w:rsidRPr="000225A2" w:rsidRDefault="00B02A96" w:rsidP="00073544">
      <w:pPr>
        <w:pStyle w:val="BodyText"/>
      </w:pPr>
    </w:p>
    <w:p w14:paraId="5DB879F5" w14:textId="49379BE2" w:rsidR="00B02A96" w:rsidRDefault="00047858" w:rsidP="00073544">
      <w:pPr>
        <w:pStyle w:val="BodyText"/>
      </w:pPr>
      <w:r>
        <w:t>T</w:t>
      </w:r>
      <w:r w:rsidRPr="7518E83F">
        <w:t xml:space="preserve">he </w:t>
      </w:r>
      <w:r w:rsidR="00B85F8E">
        <w:t>City</w:t>
      </w:r>
      <w:r w:rsidR="00F9283A" w:rsidRPr="7518E83F">
        <w:t xml:space="preserve"> </w:t>
      </w:r>
      <w:r w:rsidR="002412E3" w:rsidRPr="7518E83F">
        <w:t>is an affi</w:t>
      </w:r>
      <w:r w:rsidR="002412E3">
        <w:t>rmative action/equal opportunity employer.</w:t>
      </w:r>
      <w:r w:rsidR="002412E3">
        <w:rPr>
          <w:spacing w:val="40"/>
        </w:rPr>
        <w:t xml:space="preserve"> </w:t>
      </w:r>
      <w:r w:rsidR="002412E3">
        <w:t>All qualified applicants will receive</w:t>
      </w:r>
      <w:r w:rsidR="002412E3">
        <w:rPr>
          <w:spacing w:val="-2"/>
        </w:rPr>
        <w:t xml:space="preserve"> </w:t>
      </w:r>
      <w:r w:rsidR="002412E3">
        <w:t>consideration</w:t>
      </w:r>
      <w:r w:rsidR="002412E3">
        <w:rPr>
          <w:spacing w:val="-4"/>
        </w:rPr>
        <w:t xml:space="preserve"> </w:t>
      </w:r>
      <w:r w:rsidR="002412E3">
        <w:t>for</w:t>
      </w:r>
      <w:r w:rsidR="002412E3">
        <w:rPr>
          <w:spacing w:val="-4"/>
        </w:rPr>
        <w:t xml:space="preserve"> </w:t>
      </w:r>
      <w:r w:rsidR="002412E3">
        <w:t>employment</w:t>
      </w:r>
      <w:r w:rsidR="002412E3">
        <w:rPr>
          <w:spacing w:val="-2"/>
        </w:rPr>
        <w:t xml:space="preserve"> </w:t>
      </w:r>
      <w:r w:rsidR="002412E3">
        <w:t>without</w:t>
      </w:r>
      <w:r w:rsidR="002412E3">
        <w:rPr>
          <w:spacing w:val="-2"/>
        </w:rPr>
        <w:t xml:space="preserve"> </w:t>
      </w:r>
      <w:r w:rsidR="002412E3">
        <w:t>regard</w:t>
      </w:r>
      <w:r w:rsidR="002412E3">
        <w:rPr>
          <w:spacing w:val="-4"/>
        </w:rPr>
        <w:t xml:space="preserve"> </w:t>
      </w:r>
      <w:r w:rsidR="002412E3">
        <w:t>to</w:t>
      </w:r>
      <w:r w:rsidR="002412E3">
        <w:rPr>
          <w:spacing w:val="-2"/>
        </w:rPr>
        <w:t xml:space="preserve"> </w:t>
      </w:r>
      <w:r w:rsidR="002412E3">
        <w:t>race,</w:t>
      </w:r>
      <w:r w:rsidR="002412E3">
        <w:rPr>
          <w:spacing w:val="-5"/>
        </w:rPr>
        <w:t xml:space="preserve"> </w:t>
      </w:r>
      <w:r w:rsidR="002412E3">
        <w:t>color,</w:t>
      </w:r>
      <w:r w:rsidR="002412E3">
        <w:rPr>
          <w:spacing w:val="-5"/>
        </w:rPr>
        <w:t xml:space="preserve"> </w:t>
      </w:r>
      <w:r w:rsidR="002412E3">
        <w:t>religion,</w:t>
      </w:r>
      <w:r w:rsidR="002412E3">
        <w:rPr>
          <w:spacing w:val="-3"/>
        </w:rPr>
        <w:t xml:space="preserve"> </w:t>
      </w:r>
      <w:r w:rsidR="002412E3">
        <w:t>se</w:t>
      </w:r>
      <w:r w:rsidR="000225A2">
        <w:t>x</w:t>
      </w:r>
      <w:r w:rsidR="002412E3">
        <w:t>,</w:t>
      </w:r>
      <w:r w:rsidR="002412E3">
        <w:rPr>
          <w:spacing w:val="-5"/>
        </w:rPr>
        <w:t xml:space="preserve"> </w:t>
      </w:r>
      <w:r w:rsidR="002412E3">
        <w:t>age,</w:t>
      </w:r>
      <w:r w:rsidR="002412E3">
        <w:rPr>
          <w:spacing w:val="-5"/>
        </w:rPr>
        <w:t xml:space="preserve"> </w:t>
      </w:r>
      <w:r w:rsidR="002412E3">
        <w:t>handicap or national origin.</w:t>
      </w:r>
      <w:r w:rsidR="002412E3">
        <w:rPr>
          <w:spacing w:val="40"/>
        </w:rPr>
        <w:t xml:space="preserve"> </w:t>
      </w:r>
      <w:r w:rsidR="002412E3">
        <w:t>Small, minority</w:t>
      </w:r>
      <w:r w:rsidR="000225A2">
        <w:t>-</w:t>
      </w:r>
      <w:r w:rsidR="002412E3">
        <w:t>, and women</w:t>
      </w:r>
      <w:r w:rsidR="000225A2">
        <w:t>-</w:t>
      </w:r>
      <w:r w:rsidR="002412E3">
        <w:t xml:space="preserve">owned business enterprises are </w:t>
      </w:r>
      <w:r w:rsidR="00FF5377">
        <w:t>encouraged</w:t>
      </w:r>
      <w:r w:rsidR="002412E3">
        <w:t xml:space="preserve"> to submit qualification statements.</w:t>
      </w:r>
    </w:p>
    <w:p w14:paraId="1BD2FDA9" w14:textId="7CFF7280" w:rsidR="2E81B48B" w:rsidRDefault="2E81B48B">
      <w:r>
        <w:br w:type="page"/>
      </w:r>
    </w:p>
    <w:p w14:paraId="01B1D9B9" w14:textId="01CBEA49" w:rsidR="2E81B48B" w:rsidRDefault="5B00F2EB" w:rsidP="5B00F2EB">
      <w:pPr>
        <w:pStyle w:val="BodyText"/>
        <w:jc w:val="center"/>
        <w:rPr>
          <w:b/>
          <w:bCs/>
        </w:rPr>
      </w:pPr>
      <w:r w:rsidRPr="5B00F2EB">
        <w:rPr>
          <w:b/>
          <w:bCs/>
        </w:rPr>
        <w:lastRenderedPageBreak/>
        <w:t>Instructions, Terms, and Conditions</w:t>
      </w:r>
    </w:p>
    <w:p w14:paraId="26BBDAA9" w14:textId="1369F048" w:rsidR="2E81B48B" w:rsidRDefault="2E81B48B" w:rsidP="2E81B48B">
      <w:pPr>
        <w:pStyle w:val="BodyText"/>
        <w:jc w:val="center"/>
      </w:pPr>
    </w:p>
    <w:p w14:paraId="094DC467" w14:textId="06855D25" w:rsidR="2E81B48B" w:rsidRDefault="74503B88" w:rsidP="2E81B48B">
      <w:pPr>
        <w:pStyle w:val="BodyText"/>
      </w:pPr>
      <w:r w:rsidRPr="74503B88">
        <w:rPr>
          <w:b/>
          <w:bCs/>
        </w:rPr>
        <w:t>Submittal requirements</w:t>
      </w:r>
      <w:r>
        <w:t xml:space="preserve">: statements of qualifications must be sent to the </w:t>
      </w:r>
      <w:r w:rsidR="00B85F8E">
        <w:t>City</w:t>
      </w:r>
      <w:r>
        <w:t xml:space="preserve"> via email at </w:t>
      </w:r>
      <w:hyperlink r:id="rId9" w:history="1">
        <w:r w:rsidR="00DB197B" w:rsidRPr="0057229B">
          <w:rPr>
            <w:rStyle w:val="Hyperlink"/>
          </w:rPr>
          <w:t>cityofannona@gmail.com</w:t>
        </w:r>
      </w:hyperlink>
      <w:r w:rsidR="00DB197B">
        <w:t xml:space="preserve"> </w:t>
      </w:r>
      <w:r>
        <w:t xml:space="preserve">no later than the due date provided in the solicitation or as amended in a subsequent addendum. Statements of qualifications received after the due date will not be considered for award. </w:t>
      </w:r>
    </w:p>
    <w:p w14:paraId="692B2361" w14:textId="76E4B22B" w:rsidR="2E81B48B" w:rsidRDefault="2E81B48B" w:rsidP="2E81B48B">
      <w:pPr>
        <w:pStyle w:val="BodyText"/>
      </w:pPr>
    </w:p>
    <w:p w14:paraId="3BD9D2E6" w14:textId="13D56AD9" w:rsidR="2E81B48B" w:rsidRDefault="1C62A35B" w:rsidP="2E81B48B">
      <w:pPr>
        <w:pStyle w:val="BodyText"/>
      </w:pPr>
      <w:r w:rsidRPr="1C62A35B">
        <w:rPr>
          <w:b/>
          <w:bCs/>
        </w:rPr>
        <w:t>Addenda</w:t>
      </w:r>
      <w:r>
        <w:t>: No oral representations as to the meaning of the request for qualifications will be made to any respondent. Any explanation desired by a respondent must be submitted in writing to</w:t>
      </w:r>
      <w:r w:rsidR="00DB197B">
        <w:rPr>
          <w:spacing w:val="-3"/>
        </w:rPr>
        <w:t xml:space="preserve"> </w:t>
      </w:r>
      <w:hyperlink r:id="rId10" w:history="1">
        <w:r w:rsidR="00DB197B" w:rsidRPr="0057229B">
          <w:rPr>
            <w:rStyle w:val="Hyperlink"/>
            <w:spacing w:val="-3"/>
          </w:rPr>
          <w:t>cityofannona@gmail.com</w:t>
        </w:r>
      </w:hyperlink>
      <w:r w:rsidR="00DB197B">
        <w:rPr>
          <w:spacing w:val="-3"/>
        </w:rPr>
        <w:t xml:space="preserve"> </w:t>
      </w:r>
      <w:r>
        <w:t>no fewer than five working days prior to the due date of the Request for Qualifications. Any changes, interpretations, or corrections to this document will be made by addenda. Any addenda related to this solicitation can be found</w:t>
      </w:r>
      <w:r w:rsidR="001D65B9">
        <w:t xml:space="preserve"> at the City Hall.</w:t>
      </w:r>
    </w:p>
    <w:p w14:paraId="54AEB27B" w14:textId="46F4D441" w:rsidR="1C62A35B" w:rsidRDefault="1C62A35B" w:rsidP="1C62A35B">
      <w:pPr>
        <w:pStyle w:val="BodyText"/>
      </w:pPr>
    </w:p>
    <w:p w14:paraId="534F5AD1" w14:textId="06656937" w:rsidR="1C62A35B" w:rsidRDefault="74503B88" w:rsidP="1C62A35B">
      <w:pPr>
        <w:pStyle w:val="BodyText"/>
      </w:pPr>
      <w:r w:rsidRPr="74503B88">
        <w:rPr>
          <w:b/>
          <w:bCs/>
        </w:rPr>
        <w:t>Public award</w:t>
      </w:r>
      <w:r>
        <w:t xml:space="preserve">: </w:t>
      </w:r>
      <w:r w:rsidRPr="00E57D0B">
        <w:rPr>
          <w:highlight w:val="yellow"/>
        </w:rPr>
        <w:t xml:space="preserve">Responses will be publicly acknowledged and awarded at the next regular or special meeting convened by </w:t>
      </w:r>
      <w:r w:rsidR="001D65B9" w:rsidRPr="00E57D0B">
        <w:rPr>
          <w:highlight w:val="yellow"/>
        </w:rPr>
        <w:t>the City</w:t>
      </w:r>
      <w:r w:rsidRPr="00E57D0B">
        <w:rPr>
          <w:highlight w:val="yellow"/>
        </w:rPr>
        <w:t xml:space="preserve"> following the submittal due date at the time and date given per the notice of public meeting a</w:t>
      </w:r>
      <w:r w:rsidR="00E57D0B" w:rsidRPr="00E57D0B">
        <w:rPr>
          <w:highlight w:val="yellow"/>
        </w:rPr>
        <w:t>t the City Hall</w:t>
      </w:r>
      <w:r>
        <w:t>. Respondents, their representatives and interested persons may be present; only the names of the firms who submitted a response will be read aloud, and all information will remain confidential until a contract is awarded, if any.</w:t>
      </w:r>
    </w:p>
    <w:p w14:paraId="79DBD735" w14:textId="48EBFCB1" w:rsidR="1C62A35B" w:rsidRDefault="1C62A35B" w:rsidP="1C62A35B">
      <w:pPr>
        <w:pStyle w:val="BodyText"/>
      </w:pPr>
    </w:p>
    <w:p w14:paraId="404FB441" w14:textId="40F9CAE0" w:rsidR="1C62A35B" w:rsidRDefault="1C62A35B" w:rsidP="1C62A35B">
      <w:pPr>
        <w:pStyle w:val="BodyText"/>
      </w:pPr>
      <w:r w:rsidRPr="1C62A35B">
        <w:rPr>
          <w:b/>
          <w:bCs/>
        </w:rPr>
        <w:t>Questions/Contact Info</w:t>
      </w:r>
      <w:r>
        <w:t>: Respondents are encouraged to review this entire Request for</w:t>
      </w:r>
    </w:p>
    <w:p w14:paraId="475DB16B" w14:textId="08EC7902" w:rsidR="1C62A35B" w:rsidRDefault="1C62A35B" w:rsidP="1C62A35B">
      <w:pPr>
        <w:pStyle w:val="BodyText"/>
      </w:pPr>
      <w:r>
        <w:t>Qualification document (RFQ). All questions regarding this RFQ must be in writing and sent by</w:t>
      </w:r>
    </w:p>
    <w:p w14:paraId="4A6C4ABD" w14:textId="6C3573CB" w:rsidR="1C62A35B" w:rsidRDefault="1C62A35B" w:rsidP="1C62A35B">
      <w:pPr>
        <w:pStyle w:val="BodyText"/>
      </w:pPr>
      <w:r>
        <w:t xml:space="preserve">email to </w:t>
      </w:r>
      <w:proofErr w:type="spellStart"/>
      <w:r w:rsidR="00E57D0B">
        <w:rPr>
          <w:spacing w:val="-3"/>
        </w:rPr>
        <w:t>Pennye</w:t>
      </w:r>
      <w:proofErr w:type="spellEnd"/>
      <w:r w:rsidR="00E57D0B">
        <w:rPr>
          <w:spacing w:val="-3"/>
        </w:rPr>
        <w:t xml:space="preserve"> Hobbs, </w:t>
      </w:r>
      <w:hyperlink r:id="rId11" w:history="1">
        <w:r w:rsidR="00E57D0B" w:rsidRPr="0057229B">
          <w:rPr>
            <w:rStyle w:val="Hyperlink"/>
            <w:spacing w:val="-3"/>
          </w:rPr>
          <w:t>cityofannona@gmail.com</w:t>
        </w:r>
      </w:hyperlink>
      <w:r w:rsidR="00924FEC">
        <w:rPr>
          <w:spacing w:val="-3"/>
        </w:rPr>
        <w:t>.</w:t>
      </w:r>
      <w:r>
        <w:t xml:space="preserve"> Contact with other personnel of the </w:t>
      </w:r>
      <w:r w:rsidR="00C50774">
        <w:t>City</w:t>
      </w:r>
      <w:r>
        <w:t xml:space="preserve"> other than the </w:t>
      </w:r>
      <w:r w:rsidR="00675C09">
        <w:t>City</w:t>
      </w:r>
      <w:r>
        <w:t xml:space="preserve"> </w:t>
      </w:r>
      <w:r w:rsidR="00675C09">
        <w:t>Secretary</w:t>
      </w:r>
      <w:r>
        <w:t xml:space="preserve"> regarding the Request for Qualifications may be grounds for elimination from the selection process.</w:t>
      </w:r>
    </w:p>
    <w:p w14:paraId="219FC464" w14:textId="6D0C4EE9" w:rsidR="3055048F" w:rsidRDefault="3055048F" w:rsidP="3055048F">
      <w:pPr>
        <w:pStyle w:val="BodyText"/>
      </w:pPr>
    </w:p>
    <w:p w14:paraId="1EC31CC3" w14:textId="7799F942" w:rsidR="1C62A35B" w:rsidRDefault="1C62A35B" w:rsidP="1C62A35B">
      <w:pPr>
        <w:pStyle w:val="BodyText"/>
      </w:pPr>
      <w:r w:rsidRPr="1C62A35B">
        <w:rPr>
          <w:b/>
          <w:bCs/>
        </w:rPr>
        <w:t>Contracting Authority</w:t>
      </w:r>
      <w:r>
        <w:t xml:space="preserve">: Only the </w:t>
      </w:r>
      <w:r w:rsidR="00C50774">
        <w:t xml:space="preserve">Mayor of the City Council </w:t>
      </w:r>
      <w:r>
        <w:t xml:space="preserve">acting as a body may enter into any type of agreement or contract on behalf of </w:t>
      </w:r>
      <w:r w:rsidR="00C50774">
        <w:t>the City</w:t>
      </w:r>
      <w:r>
        <w:t xml:space="preserve">. Staff, personnel, or other elected or appointed officials are not authorized to enter into any type of agreement or contract on behalf of the </w:t>
      </w:r>
      <w:r w:rsidR="00C50774">
        <w:t>City</w:t>
      </w:r>
      <w:r>
        <w:t xml:space="preserve"> or to agree to any type of supplemental agreements or contracts for goods or services. Contracts are subject to review by the </w:t>
      </w:r>
      <w:r w:rsidR="00C50774">
        <w:t>City’s</w:t>
      </w:r>
      <w:r>
        <w:t xml:space="preserve"> attorney prior to signature by the authorized </w:t>
      </w:r>
      <w:r w:rsidR="00C50774">
        <w:t>City</w:t>
      </w:r>
      <w:r>
        <w:t xml:space="preserve"> official.</w:t>
      </w:r>
    </w:p>
    <w:p w14:paraId="1A1CC904" w14:textId="04998262" w:rsidR="1C62A35B" w:rsidRDefault="1C62A35B" w:rsidP="1C62A35B">
      <w:pPr>
        <w:pStyle w:val="BodyText"/>
      </w:pPr>
    </w:p>
    <w:p w14:paraId="70AE326B" w14:textId="1E49B3FE" w:rsidR="1C62A35B" w:rsidRDefault="6F9C939F" w:rsidP="1C62A35B">
      <w:pPr>
        <w:pStyle w:val="BodyText"/>
      </w:pPr>
      <w:r w:rsidRPr="6F9C939F">
        <w:rPr>
          <w:b/>
          <w:bCs/>
        </w:rPr>
        <w:t>Disadvantaged Business Enterprise (DBE)</w:t>
      </w:r>
      <w:r>
        <w:t xml:space="preserve">: The </w:t>
      </w:r>
      <w:r w:rsidR="00C50774">
        <w:t>City</w:t>
      </w:r>
      <w:r>
        <w:t xml:space="preserve"> is wholly committed to developing, establishing, maintaining, and enhancing minority business involvement in the total procurement process. The </w:t>
      </w:r>
      <w:r w:rsidR="00C50774">
        <w:t>City</w:t>
      </w:r>
      <w:r>
        <w:t>, its contractors, their suppliers and sub-contractors, vendors of goods, equipment, services, and professional services, shall not discriminate on the basis of race, color, religion, national origin, age, handicap, or sex in the award and/or performance of contracts. However, competition and quality of work remain the ultimate standards in contractor, sub-contractor, vendor service, professional service, and supplier utilization.</w:t>
      </w:r>
    </w:p>
    <w:p w14:paraId="008D6D26" w14:textId="7174403B" w:rsidR="1C62A35B" w:rsidRDefault="1C62A35B" w:rsidP="1C62A35B">
      <w:pPr>
        <w:pStyle w:val="BodyText"/>
      </w:pPr>
    </w:p>
    <w:p w14:paraId="0D8B4AA1" w14:textId="436E7400" w:rsidR="1C62A35B" w:rsidRDefault="1C62A35B" w:rsidP="1C62A35B">
      <w:pPr>
        <w:pStyle w:val="BodyText"/>
        <w:spacing w:line="259" w:lineRule="auto"/>
      </w:pPr>
      <w:r w:rsidRPr="1C62A35B">
        <w:rPr>
          <w:b/>
          <w:bCs/>
        </w:rPr>
        <w:t>Request for information/clarifications</w:t>
      </w:r>
      <w:r>
        <w:t xml:space="preserve">: The </w:t>
      </w:r>
      <w:r w:rsidR="00675C09">
        <w:t>City</w:t>
      </w:r>
      <w:r>
        <w:t xml:space="preserve"> reserves the right to request clarification of information submitted to one, all, or some respondents and to request additional information of one, all or some Respondents. The </w:t>
      </w:r>
      <w:r w:rsidR="00675C09">
        <w:t>City</w:t>
      </w:r>
      <w:r>
        <w:t xml:space="preserve"> reserves the right to request Best and Final Offers </w:t>
      </w:r>
      <w:r>
        <w:lastRenderedPageBreak/>
        <w:t>from Respondents.</w:t>
      </w:r>
    </w:p>
    <w:p w14:paraId="16A3527F" w14:textId="12780FDF" w:rsidR="1C62A35B" w:rsidRDefault="1C62A35B" w:rsidP="1C62A35B">
      <w:pPr>
        <w:pStyle w:val="BodyText"/>
        <w:spacing w:line="259" w:lineRule="auto"/>
      </w:pPr>
    </w:p>
    <w:p w14:paraId="625ECDA7" w14:textId="4D29938A" w:rsidR="1C62A35B" w:rsidRDefault="1C62A35B" w:rsidP="1C62A35B">
      <w:pPr>
        <w:pStyle w:val="BodyText"/>
      </w:pPr>
      <w:r w:rsidRPr="1C62A35B">
        <w:rPr>
          <w:b/>
          <w:bCs/>
        </w:rPr>
        <w:t>Cost of Preparation</w:t>
      </w:r>
      <w:r>
        <w:t xml:space="preserve">: Costs of preparation of a response to this request are solely those of the Respondent including but not limited to any expenses incurred for interviews, presentations or negotiations. The </w:t>
      </w:r>
      <w:r w:rsidR="00675C09">
        <w:t>City</w:t>
      </w:r>
      <w:r>
        <w:t xml:space="preserve"> assumes no responsibility for any such costs incurred by the Respondent. The Respondent also agrees that the </w:t>
      </w:r>
      <w:r w:rsidR="00675C09">
        <w:t>City</w:t>
      </w:r>
      <w:r>
        <w:t xml:space="preserve"> assumes no responsibility for any costs associated with any administrative or judicial proceedings resulting from the solicitation process.</w:t>
      </w:r>
    </w:p>
    <w:p w14:paraId="0D0E7C85" w14:textId="1BE5B466" w:rsidR="1C62A35B" w:rsidRDefault="1C62A35B" w:rsidP="1C62A35B">
      <w:pPr>
        <w:pStyle w:val="BodyText"/>
      </w:pPr>
    </w:p>
    <w:p w14:paraId="0E614B17" w14:textId="1CD2A2F6" w:rsidR="1C62A35B" w:rsidRDefault="1C62A35B" w:rsidP="1C62A35B">
      <w:pPr>
        <w:pStyle w:val="BodyText"/>
      </w:pPr>
      <w:r w:rsidRPr="1C62A35B">
        <w:rPr>
          <w:b/>
          <w:bCs/>
        </w:rPr>
        <w:t>Confidentiality during Evaluation Process</w:t>
      </w:r>
      <w:r>
        <w:t>: All documents submitted as part of the Respondent’s offering will be deemed confidential during the evaluation process.</w:t>
      </w:r>
    </w:p>
    <w:p w14:paraId="3F397A4C" w14:textId="6B2FD236" w:rsidR="1C62A35B" w:rsidRDefault="1C62A35B" w:rsidP="1C62A35B">
      <w:pPr>
        <w:pStyle w:val="BodyText"/>
      </w:pPr>
    </w:p>
    <w:p w14:paraId="35F2F04A" w14:textId="0705A2D2" w:rsidR="1C62A35B" w:rsidRDefault="1C62A35B" w:rsidP="1C62A35B">
      <w:pPr>
        <w:pStyle w:val="BodyText"/>
      </w:pPr>
      <w:r w:rsidRPr="1C62A35B">
        <w:rPr>
          <w:b/>
          <w:bCs/>
        </w:rPr>
        <w:t>Rejection of Responses</w:t>
      </w:r>
      <w:r>
        <w:t xml:space="preserve">: The </w:t>
      </w:r>
      <w:r w:rsidR="00675C09">
        <w:t>City</w:t>
      </w:r>
      <w:r>
        <w:t xml:space="preserve"> reserves the right to accept or reject any or all submittals, with or without cause, to waive technicalities, or to accept the statement of qualifications which, in its sole judgment, best serves the interest of the </w:t>
      </w:r>
      <w:r w:rsidR="00675C09">
        <w:t>City</w:t>
      </w:r>
      <w:r>
        <w:t xml:space="preserve">, or to award a contract to the next most qualified Respondent if a successful Respondent does not execute a contract within 15 business days after approval of the selection by the </w:t>
      </w:r>
      <w:r w:rsidR="00675C09">
        <w:t>City</w:t>
      </w:r>
      <w:r>
        <w:t>.</w:t>
      </w:r>
    </w:p>
    <w:p w14:paraId="2EBD306F" w14:textId="06B7D677" w:rsidR="1C62A35B" w:rsidRDefault="1C62A35B" w:rsidP="1C62A35B">
      <w:pPr>
        <w:pStyle w:val="BodyText"/>
      </w:pPr>
    </w:p>
    <w:p w14:paraId="5C6FD80C" w14:textId="08622657" w:rsidR="1C62A35B" w:rsidRDefault="09BA471D" w:rsidP="1C62A35B">
      <w:pPr>
        <w:pStyle w:val="BodyText"/>
      </w:pPr>
      <w:r w:rsidRPr="09BA471D">
        <w:rPr>
          <w:b/>
          <w:bCs/>
        </w:rPr>
        <w:t>Ethics/Gratuities</w:t>
      </w:r>
      <w:r>
        <w:t xml:space="preserve">: The </w:t>
      </w:r>
      <w:r w:rsidR="00675C09">
        <w:t>City</w:t>
      </w:r>
      <w:r>
        <w:t xml:space="preserve"> may, by written notice to the Awarded Respondent, cancel any contract without liability to Awarded Respondent if it is determined by the </w:t>
      </w:r>
      <w:r w:rsidR="00675C09">
        <w:t>City</w:t>
      </w:r>
      <w:r>
        <w:t xml:space="preserve"> that gratuities, in the form of entertainment, gifts, or otherwise, were offered or given by the Seller, or any agent or representative of the Seller, to any officer or employee of the </w:t>
      </w:r>
      <w:r w:rsidR="00675C09">
        <w:t>City</w:t>
      </w:r>
      <w:r>
        <w:t xml:space="preserve"> with a view toward securing a contract or securing favorable treatment with respect to the awarding or amending, or the making of any determinations with respect to the performing of such a contract. In the event this contract is canceled by the </w:t>
      </w:r>
      <w:r w:rsidR="00675C09">
        <w:t>City</w:t>
      </w:r>
      <w:r>
        <w:t xml:space="preserve"> pursuant to this provision, the </w:t>
      </w:r>
      <w:r w:rsidR="00675C09">
        <w:t>City</w:t>
      </w:r>
      <w:r>
        <w:t xml:space="preserve"> shall be entitled, in addition to any other rights and remedies, to recover or withhold the amount of the cost incurred by Awarded Respondent in providing such gratuities.</w:t>
      </w:r>
    </w:p>
    <w:p w14:paraId="1DE9FFD8" w14:textId="02BA5E03" w:rsidR="1C62A35B" w:rsidRDefault="1C62A35B" w:rsidP="1C62A35B">
      <w:pPr>
        <w:pStyle w:val="BodyText"/>
      </w:pPr>
    </w:p>
    <w:p w14:paraId="636A76B9" w14:textId="156D55CA" w:rsidR="1C62A35B" w:rsidRDefault="1C62A35B" w:rsidP="1C62A35B">
      <w:pPr>
        <w:pStyle w:val="BodyText"/>
      </w:pPr>
      <w:r w:rsidRPr="1C62A35B">
        <w:rPr>
          <w:b/>
          <w:bCs/>
        </w:rPr>
        <w:t>Compliance with RFQ terms</w:t>
      </w:r>
      <w:r>
        <w:t>: Respondents are cautioned that exceptions to these terms, conditions, and attachments may result in rejection. Any awarded respondent will be expected to execute a contract separate from this document but includes this document as part of the contract.</w:t>
      </w:r>
    </w:p>
    <w:p w14:paraId="04E60A7B" w14:textId="4C7AA2E2" w:rsidR="3055048F" w:rsidRDefault="3055048F" w:rsidP="3055048F">
      <w:pPr>
        <w:pStyle w:val="BodyText"/>
      </w:pPr>
    </w:p>
    <w:p w14:paraId="21EDD2B6" w14:textId="7C2640A5" w:rsidR="1C62A35B" w:rsidRDefault="1C62A35B" w:rsidP="1C62A35B">
      <w:pPr>
        <w:pStyle w:val="BodyText"/>
      </w:pPr>
      <w:r w:rsidRPr="1C62A35B">
        <w:rPr>
          <w:b/>
          <w:bCs/>
        </w:rPr>
        <w:t>Confidentiality</w:t>
      </w:r>
      <w:r>
        <w:t>: Any material that is to be considered confidential in nature must be clearly marked as such and may be treated as confidential to the extent allowable in the Texas Public Information Act. Pricing information is not considered to be confidential. Trade secrets or confidential information MUST be placed in a separate envelope marked “CONFIDENTIAL</w:t>
      </w:r>
    </w:p>
    <w:p w14:paraId="4160ED16" w14:textId="25AB8E2E" w:rsidR="1C62A35B" w:rsidRDefault="74503B88" w:rsidP="1C62A35B">
      <w:pPr>
        <w:pStyle w:val="BodyText"/>
      </w:pPr>
      <w:r>
        <w:t xml:space="preserve">INFORMATION” and EACH PAGE must be marked “CONFIDENTIAL INFORMATION”. Please be advised that the </w:t>
      </w:r>
      <w:r w:rsidR="00675C09">
        <w:t>City</w:t>
      </w:r>
      <w:r>
        <w:t xml:space="preserve"> cannot and will not make any agreement to withhold information from the public that is contrary to the </w:t>
      </w:r>
      <w:r w:rsidR="00675C09">
        <w:t>City’s</w:t>
      </w:r>
      <w:r>
        <w:t xml:space="preserve"> responsibility under the Act. </w:t>
      </w:r>
    </w:p>
    <w:p w14:paraId="7FDD3F9B" w14:textId="4C941C06" w:rsidR="1C62A35B" w:rsidRDefault="1C62A35B" w:rsidP="1C62A35B">
      <w:pPr>
        <w:pStyle w:val="BodyText"/>
      </w:pPr>
    </w:p>
    <w:p w14:paraId="5E5F2A39" w14:textId="0573DFFC" w:rsidR="1C62A35B" w:rsidRDefault="74503B88" w:rsidP="1C62A35B">
      <w:pPr>
        <w:pStyle w:val="BodyText"/>
        <w:spacing w:line="259" w:lineRule="auto"/>
      </w:pPr>
      <w:r w:rsidRPr="74503B88">
        <w:rPr>
          <w:b/>
          <w:bCs/>
        </w:rPr>
        <w:t>Non-responsive/Submittal Rejections</w:t>
      </w:r>
      <w:r>
        <w:t>: Submittals may be deemed non-responsive, among other reasons, for any of the following reasons:</w:t>
      </w:r>
    </w:p>
    <w:p w14:paraId="21ED0201" w14:textId="6E5C20CF" w:rsidR="1C62A35B" w:rsidRDefault="1B5898BE" w:rsidP="1C62A35B">
      <w:pPr>
        <w:pStyle w:val="BodyText"/>
        <w:numPr>
          <w:ilvl w:val="0"/>
          <w:numId w:val="2"/>
        </w:numPr>
      </w:pPr>
      <w:r>
        <w:t>Submittal Statements containing inconsistencies</w:t>
      </w:r>
    </w:p>
    <w:p w14:paraId="6B330EF9" w14:textId="6634CB54" w:rsidR="1C62A35B" w:rsidRDefault="1C62A35B" w:rsidP="1C62A35B">
      <w:pPr>
        <w:pStyle w:val="BodyText"/>
        <w:numPr>
          <w:ilvl w:val="0"/>
          <w:numId w:val="2"/>
        </w:numPr>
      </w:pPr>
      <w:r>
        <w:lastRenderedPageBreak/>
        <w:t>Unbalanced value of terms</w:t>
      </w:r>
    </w:p>
    <w:p w14:paraId="0E667D94" w14:textId="5DFA79D2" w:rsidR="1C62A35B" w:rsidRDefault="1C62A35B" w:rsidP="1C62A35B">
      <w:pPr>
        <w:pStyle w:val="BodyText"/>
      </w:pPr>
    </w:p>
    <w:p w14:paraId="2EE44780" w14:textId="6215EBC2" w:rsidR="1C62A35B" w:rsidRDefault="1C62A35B" w:rsidP="1C62A35B">
      <w:pPr>
        <w:pStyle w:val="BodyText"/>
      </w:pPr>
      <w:r>
        <w:t>Respondents may be disqualified and not considered, among other reasons, for any of</w:t>
      </w:r>
    </w:p>
    <w:p w14:paraId="73E9E6A9" w14:textId="482A9DFF" w:rsidR="1C62A35B" w:rsidRDefault="1C62A35B" w:rsidP="1C62A35B">
      <w:pPr>
        <w:pStyle w:val="BodyText"/>
      </w:pPr>
      <w:r>
        <w:t>the following specific reasons:</w:t>
      </w:r>
    </w:p>
    <w:p w14:paraId="0C86F855" w14:textId="4D66B911" w:rsidR="1C62A35B" w:rsidRDefault="1C62A35B" w:rsidP="1C62A35B">
      <w:pPr>
        <w:pStyle w:val="BodyText"/>
        <w:numPr>
          <w:ilvl w:val="0"/>
          <w:numId w:val="1"/>
        </w:numPr>
      </w:pPr>
      <w:r>
        <w:t>Reason for believing collusion exists among the Respondents.</w:t>
      </w:r>
    </w:p>
    <w:p w14:paraId="05C84379" w14:textId="3029AE2D" w:rsidR="1C62A35B" w:rsidRDefault="1B5898BE" w:rsidP="1C62A35B">
      <w:pPr>
        <w:pStyle w:val="BodyText"/>
        <w:numPr>
          <w:ilvl w:val="0"/>
          <w:numId w:val="1"/>
        </w:numPr>
      </w:pPr>
      <w:r>
        <w:t>Reasonable grounds for believing that any Respondent is interested in more than one submittal for the work contemplated.</w:t>
      </w:r>
    </w:p>
    <w:p w14:paraId="4B9A1CE1" w14:textId="48232880" w:rsidR="1C62A35B" w:rsidRDefault="1C62A35B" w:rsidP="1C62A35B">
      <w:pPr>
        <w:pStyle w:val="BodyText"/>
        <w:numPr>
          <w:ilvl w:val="0"/>
          <w:numId w:val="1"/>
        </w:numPr>
      </w:pPr>
      <w:r>
        <w:t xml:space="preserve">The Respondent being interested in any litigation against the </w:t>
      </w:r>
      <w:r w:rsidR="00675C09">
        <w:t>City</w:t>
      </w:r>
      <w:r>
        <w:t>.</w:t>
      </w:r>
    </w:p>
    <w:p w14:paraId="38017B52" w14:textId="03E80036" w:rsidR="1C62A35B" w:rsidRDefault="1C62A35B" w:rsidP="1C62A35B">
      <w:pPr>
        <w:pStyle w:val="BodyText"/>
        <w:numPr>
          <w:ilvl w:val="0"/>
          <w:numId w:val="1"/>
        </w:numPr>
      </w:pPr>
      <w:r>
        <w:t>The Respondent in arrears on any existing contract or having defaulted on a previous contract.</w:t>
      </w:r>
    </w:p>
    <w:p w14:paraId="52083240" w14:textId="09907B3F" w:rsidR="1C62A35B" w:rsidRDefault="1C62A35B" w:rsidP="1C62A35B">
      <w:pPr>
        <w:pStyle w:val="BodyText"/>
        <w:numPr>
          <w:ilvl w:val="0"/>
          <w:numId w:val="1"/>
        </w:numPr>
      </w:pPr>
      <w:r>
        <w:t>Lack of competency as revealed by a financial statement, experience.</w:t>
      </w:r>
    </w:p>
    <w:p w14:paraId="24647B9A" w14:textId="6EE3F560" w:rsidR="1C62A35B" w:rsidRDefault="1B5898BE" w:rsidP="1C62A35B">
      <w:pPr>
        <w:pStyle w:val="BodyText"/>
        <w:numPr>
          <w:ilvl w:val="0"/>
          <w:numId w:val="1"/>
        </w:numPr>
      </w:pPr>
      <w:r>
        <w:t xml:space="preserve">Respondent past performance record with the </w:t>
      </w:r>
      <w:r w:rsidR="00675C09">
        <w:t>City</w:t>
      </w:r>
      <w:r>
        <w:t>.</w:t>
      </w:r>
    </w:p>
    <w:p w14:paraId="49BF9EE7" w14:textId="1ECC2A06" w:rsidR="1C62A35B" w:rsidRDefault="1C62A35B" w:rsidP="1C62A35B">
      <w:pPr>
        <w:pStyle w:val="BodyText"/>
        <w:numPr>
          <w:ilvl w:val="0"/>
          <w:numId w:val="1"/>
        </w:numPr>
      </w:pPr>
      <w:r>
        <w:t>Limited competition.</w:t>
      </w:r>
    </w:p>
    <w:p w14:paraId="69E28C3E" w14:textId="4BE91028" w:rsidR="1C62A35B" w:rsidRDefault="1C62A35B" w:rsidP="1C62A35B">
      <w:pPr>
        <w:pStyle w:val="BodyText"/>
      </w:pPr>
    </w:p>
    <w:p w14:paraId="1B880640" w14:textId="01809DEC" w:rsidR="1C62A35B" w:rsidRDefault="6F9C939F" w:rsidP="1C62A35B">
      <w:pPr>
        <w:pStyle w:val="BodyText"/>
      </w:pPr>
      <w:r w:rsidRPr="6F9C939F">
        <w:t xml:space="preserve">The </w:t>
      </w:r>
      <w:r w:rsidR="00675C09">
        <w:t>City</w:t>
      </w:r>
      <w:r w:rsidRPr="6F9C939F">
        <w:t xml:space="preserve"> reserves the right to award more than one non-exclusive contract to provide these services. The </w:t>
      </w:r>
      <w:r w:rsidR="00675C09">
        <w:t>City</w:t>
      </w:r>
      <w:r w:rsidRPr="6F9C939F">
        <w:t xml:space="preserve"> reserves the right to assign projects to contracted Engineers as deemed in the best interest of the </w:t>
      </w:r>
      <w:r w:rsidR="00675C09">
        <w:t>City</w:t>
      </w:r>
      <w:r w:rsidRPr="6F9C939F">
        <w:t>.</w:t>
      </w:r>
    </w:p>
    <w:p w14:paraId="0331EAC6" w14:textId="47C51D6D" w:rsidR="62CC4E0D" w:rsidRDefault="62CC4E0D">
      <w:r>
        <w:br w:type="page"/>
      </w:r>
    </w:p>
    <w:p w14:paraId="7666E2BA" w14:textId="1C301FC1" w:rsidR="62CC4E0D" w:rsidRDefault="5B00F2EB" w:rsidP="5B00F2EB">
      <w:pPr>
        <w:pStyle w:val="BodyText"/>
        <w:spacing w:line="259" w:lineRule="auto"/>
        <w:jc w:val="center"/>
        <w:rPr>
          <w:b/>
          <w:bCs/>
        </w:rPr>
      </w:pPr>
      <w:r w:rsidRPr="5B00F2EB">
        <w:rPr>
          <w:b/>
          <w:bCs/>
        </w:rPr>
        <w:lastRenderedPageBreak/>
        <w:t>Evaluation Criteria and Process</w:t>
      </w:r>
    </w:p>
    <w:p w14:paraId="5FF17A5D" w14:textId="28E69DD2" w:rsidR="62CC4E0D" w:rsidRDefault="62CC4E0D" w:rsidP="0D119C9B">
      <w:pPr>
        <w:pStyle w:val="BodyText"/>
        <w:spacing w:line="259" w:lineRule="auto"/>
        <w:jc w:val="center"/>
      </w:pPr>
    </w:p>
    <w:p w14:paraId="53517BBF" w14:textId="1F564F49" w:rsidR="62CC4E0D" w:rsidRDefault="0D119C9B" w:rsidP="62CC4E0D">
      <w:pPr>
        <w:pStyle w:val="BodyText"/>
      </w:pPr>
      <w:r w:rsidRPr="0D119C9B">
        <w:t>After opening of submittals, an evaluation committee will score and rank the returns based on the criteria listed below. After a short list has been determined, the committee may request information, clarifications, presentations or interview some or all of the top ranked firms. The evaluation committee will determine the most highly qualified firm based on the information</w:t>
      </w:r>
    </w:p>
    <w:p w14:paraId="49B9C081" w14:textId="5BE6A84C" w:rsidR="00924FEC" w:rsidRDefault="0D119C9B" w:rsidP="62CC4E0D">
      <w:pPr>
        <w:pStyle w:val="BodyText"/>
      </w:pPr>
      <w:r w:rsidRPr="0D119C9B">
        <w:t xml:space="preserve">submitted and will begin contract negotiations after </w:t>
      </w:r>
      <w:r w:rsidR="00F13847">
        <w:t>City Council</w:t>
      </w:r>
      <w:r w:rsidRPr="0D119C9B">
        <w:t xml:space="preserve"> approval. </w:t>
      </w:r>
    </w:p>
    <w:p w14:paraId="04386A90" w14:textId="77777777" w:rsidR="00924FEC" w:rsidRDefault="00924FEC" w:rsidP="62CC4E0D">
      <w:pPr>
        <w:pStyle w:val="BodyText"/>
      </w:pPr>
    </w:p>
    <w:p w14:paraId="3856150F" w14:textId="3F48FBD7" w:rsidR="62CC4E0D" w:rsidRDefault="0D119C9B" w:rsidP="62CC4E0D">
      <w:pPr>
        <w:pStyle w:val="BodyText"/>
      </w:pPr>
      <w:r w:rsidRPr="0D119C9B">
        <w:t xml:space="preserve">If a contract cannot be negotiated with the highest ranked firm, then the </w:t>
      </w:r>
      <w:r w:rsidR="00F13847">
        <w:t>City</w:t>
      </w:r>
      <w:r w:rsidRPr="0D119C9B">
        <w:t xml:space="preserve"> will formally end negotiations and will notify the second ranked firm for negotiation, and so on. The </w:t>
      </w:r>
      <w:r w:rsidR="00F13847">
        <w:t>City</w:t>
      </w:r>
      <w:r w:rsidRPr="0D119C9B">
        <w:t xml:space="preserve"> reserves the right at its sole discretion to determine if pursuing contract negotiations is in the best interest of the </w:t>
      </w:r>
      <w:r w:rsidR="00F13847">
        <w:t>City</w:t>
      </w:r>
      <w:r w:rsidRPr="0D119C9B">
        <w:t>.</w:t>
      </w:r>
    </w:p>
    <w:p w14:paraId="6486C69E" w14:textId="15F4D471" w:rsidR="62CC4E0D" w:rsidRDefault="62CC4E0D" w:rsidP="0D119C9B">
      <w:pPr>
        <w:pStyle w:val="BodyText"/>
      </w:pPr>
    </w:p>
    <w:p w14:paraId="46078E49" w14:textId="38D7DEA0" w:rsidR="62CC4E0D" w:rsidRDefault="0D119C9B" w:rsidP="0D119C9B">
      <w:pPr>
        <w:pStyle w:val="BodyText"/>
      </w:pPr>
      <w:r w:rsidRPr="0D119C9B">
        <w:rPr>
          <w:b/>
          <w:bCs/>
        </w:rPr>
        <w:t>Presentations</w:t>
      </w:r>
      <w:r w:rsidRPr="0D119C9B">
        <w:t xml:space="preserve">: During the evaluation process, the </w:t>
      </w:r>
      <w:r w:rsidR="00F13847">
        <w:t>City</w:t>
      </w:r>
      <w:r w:rsidRPr="0D119C9B">
        <w:t xml:space="preserve"> may, at its discretion, request firms to make oral presentations. All costs incurred by Respondent for the presentations will be the sole responsibility of the respondent. After any such presentation, submittals may be evaluated again.</w:t>
      </w:r>
    </w:p>
    <w:p w14:paraId="648E4014" w14:textId="789895C1" w:rsidR="62CC4E0D" w:rsidRDefault="62CC4E0D" w:rsidP="0D119C9B">
      <w:pPr>
        <w:pStyle w:val="BodyText"/>
      </w:pPr>
    </w:p>
    <w:p w14:paraId="72CC009A" w14:textId="6F77DAAE" w:rsidR="62CC4E0D" w:rsidRDefault="1B5898BE" w:rsidP="62CC4E0D">
      <w:pPr>
        <w:pStyle w:val="BodyText"/>
      </w:pPr>
      <w:r w:rsidRPr="1B5898BE">
        <w:t xml:space="preserve">The </w:t>
      </w:r>
      <w:r w:rsidR="00F13847">
        <w:t>City</w:t>
      </w:r>
      <w:r w:rsidRPr="1B5898BE">
        <w:t xml:space="preserve"> reserves the right at its sole discretion to determine if presentations are in the best interest of the </w:t>
      </w:r>
      <w:r w:rsidR="00F13847">
        <w:t>City</w:t>
      </w:r>
      <w:r w:rsidRPr="1B5898BE">
        <w:t xml:space="preserve"> and is under no obligation to request presentations from all Respondents.</w:t>
      </w:r>
    </w:p>
    <w:p w14:paraId="76FD60E3" w14:textId="4A612377" w:rsidR="62CC4E0D" w:rsidRDefault="62CC4E0D" w:rsidP="0D119C9B">
      <w:pPr>
        <w:pStyle w:val="BodyText"/>
      </w:pPr>
    </w:p>
    <w:p w14:paraId="1B6B0866" w14:textId="69EFDCFE" w:rsidR="00924FEC" w:rsidRDefault="1B5898BE" w:rsidP="62CC4E0D">
      <w:pPr>
        <w:pStyle w:val="BodyText"/>
      </w:pPr>
      <w:r w:rsidRPr="1B5898BE">
        <w:rPr>
          <w:b/>
          <w:bCs/>
        </w:rPr>
        <w:t>Request for Information</w:t>
      </w:r>
      <w:r w:rsidRPr="1B5898BE">
        <w:t xml:space="preserve">: The </w:t>
      </w:r>
      <w:r w:rsidR="00F13847">
        <w:t>City</w:t>
      </w:r>
      <w:r w:rsidRPr="1B5898BE">
        <w:t xml:space="preserve"> also reserves the right to request additional information or clarifications from proposers or to allow corrections of errors or omissions as deemed in the best interest of the </w:t>
      </w:r>
      <w:r w:rsidR="00F13847">
        <w:t>City</w:t>
      </w:r>
      <w:r w:rsidRPr="1B5898BE">
        <w:t xml:space="preserve">. After any retrieval of information or clarifications presentations submittals may be evaluated again. The </w:t>
      </w:r>
      <w:r w:rsidR="00F13847">
        <w:t>City</w:t>
      </w:r>
      <w:r w:rsidRPr="1B5898BE">
        <w:t xml:space="preserve"> reserves the right at its sole discretion to request information, clarifications, presentations and or interviews from respondents. </w:t>
      </w:r>
    </w:p>
    <w:p w14:paraId="23709B5E" w14:textId="77777777" w:rsidR="00924FEC" w:rsidRDefault="00924FEC" w:rsidP="62CC4E0D">
      <w:pPr>
        <w:pStyle w:val="BodyText"/>
      </w:pPr>
    </w:p>
    <w:p w14:paraId="32C6A461" w14:textId="3FC51923" w:rsidR="62CC4E0D" w:rsidRDefault="1B5898BE" w:rsidP="62CC4E0D">
      <w:pPr>
        <w:pStyle w:val="BodyText"/>
      </w:pPr>
      <w:r w:rsidRPr="1B5898BE">
        <w:t xml:space="preserve">The </w:t>
      </w:r>
      <w:r w:rsidR="00F13847">
        <w:t>City</w:t>
      </w:r>
      <w:r w:rsidRPr="1B5898BE">
        <w:t xml:space="preserve"> and is under no obligation and reserves the right to request information, clarifications, and/or presentations and interview from one, some or all Respondents. The </w:t>
      </w:r>
      <w:r w:rsidR="00F13847">
        <w:t>City</w:t>
      </w:r>
      <w:r w:rsidRPr="1B5898BE">
        <w:t xml:space="preserve"> reserves the right at its sole discretion to determine the process for this statement of submittal evaluation and may elect to accelerate the evaluation process by combining or eliminating any or all of the evaluation phases. The </w:t>
      </w:r>
      <w:r w:rsidR="00F13847">
        <w:t>City</w:t>
      </w:r>
      <w:r w:rsidRPr="1B5898BE">
        <w:t xml:space="preserve"> reserves the right without prejudice to reject any or all submittals to this RFQ.</w:t>
      </w:r>
    </w:p>
    <w:p w14:paraId="277F8DA0" w14:textId="144C9C86" w:rsidR="62CC4E0D" w:rsidRDefault="62CC4E0D" w:rsidP="0D119C9B">
      <w:pPr>
        <w:pStyle w:val="BodyText"/>
      </w:pPr>
    </w:p>
    <w:p w14:paraId="1599789C" w14:textId="091F7E7F" w:rsidR="62CC4E0D" w:rsidRDefault="1B5898BE" w:rsidP="62CC4E0D">
      <w:pPr>
        <w:pStyle w:val="BodyText"/>
      </w:pPr>
      <w:r w:rsidRPr="1B5898BE">
        <w:t>The evaluation criteria will be scored on the following components:</w:t>
      </w:r>
    </w:p>
    <w:p w14:paraId="5A471FBD" w14:textId="3F442AD0" w:rsidR="1B5898BE" w:rsidRDefault="1B5898BE" w:rsidP="1B5898BE">
      <w:pPr>
        <w:pStyle w:val="BodyText"/>
      </w:pPr>
    </w:p>
    <w:p w14:paraId="668D2B5F" w14:textId="16CD5ED1" w:rsidR="1B5898BE" w:rsidRDefault="1B5898BE" w:rsidP="1B5898BE">
      <w:pPr>
        <w:pStyle w:val="BodyText"/>
      </w:pPr>
    </w:p>
    <w:p w14:paraId="782B4652" w14:textId="41A322DB" w:rsidR="1B5898BE" w:rsidRDefault="1B5898BE" w:rsidP="1B5898BE">
      <w:pPr>
        <w:pStyle w:val="BodyText"/>
      </w:pPr>
    </w:p>
    <w:p w14:paraId="5E18D592" w14:textId="1F964317" w:rsidR="1B5898BE" w:rsidRDefault="1B5898BE" w:rsidP="1B5898BE">
      <w:pPr>
        <w:pStyle w:val="BodyText"/>
      </w:pPr>
    </w:p>
    <w:p w14:paraId="07B658AE" w14:textId="46CBD7EE" w:rsidR="1B5898BE" w:rsidRDefault="1B5898BE" w:rsidP="1B5898BE">
      <w:pPr>
        <w:pStyle w:val="BodyText"/>
        <w:jc w:val="center"/>
      </w:pPr>
      <w:r w:rsidRPr="1B5898BE">
        <w:t>[The remainder of this page was intentionally left blank.]</w:t>
      </w:r>
    </w:p>
    <w:p w14:paraId="1B0B0454" w14:textId="5B179512" w:rsidR="0D119C9B" w:rsidRDefault="0D119C9B" w:rsidP="0D119C9B"/>
    <w:p w14:paraId="23A485C9" w14:textId="55F2B814" w:rsidR="0D119C9B" w:rsidRDefault="0D119C9B">
      <w:r>
        <w:br w:type="page"/>
      </w:r>
    </w:p>
    <w:p w14:paraId="64DC9D71" w14:textId="7CB17E35" w:rsidR="006E1197" w:rsidRDefault="0D119C9B" w:rsidP="0D119C9B">
      <w:pPr>
        <w:jc w:val="center"/>
        <w:rPr>
          <w:sz w:val="32"/>
          <w:szCs w:val="32"/>
        </w:rPr>
      </w:pPr>
      <w:r w:rsidRPr="0D119C9B">
        <w:rPr>
          <w:sz w:val="32"/>
          <w:szCs w:val="32"/>
        </w:rPr>
        <w:lastRenderedPageBreak/>
        <w:t>Scoring Criteria</w:t>
      </w:r>
    </w:p>
    <w:tbl>
      <w:tblPr>
        <w:tblStyle w:val="TableGrid"/>
        <w:tblpPr w:leftFromText="180" w:rightFromText="180" w:horzAnchor="margin" w:tblpY="528"/>
        <w:tblW w:w="9445" w:type="dxa"/>
        <w:tblLook w:val="04A0" w:firstRow="1" w:lastRow="0" w:firstColumn="1" w:lastColumn="0" w:noHBand="0" w:noVBand="1"/>
      </w:tblPr>
      <w:tblGrid>
        <w:gridCol w:w="7075"/>
        <w:gridCol w:w="1196"/>
        <w:gridCol w:w="1174"/>
      </w:tblGrid>
      <w:tr w:rsidR="006E1197" w14:paraId="11DFAC00" w14:textId="77777777" w:rsidTr="5B00F2EB">
        <w:trPr>
          <w:trHeight w:val="300"/>
        </w:trPr>
        <w:tc>
          <w:tcPr>
            <w:tcW w:w="7075" w:type="dxa"/>
          </w:tcPr>
          <w:p w14:paraId="72117158" w14:textId="77777777" w:rsidR="006E1197" w:rsidRDefault="006E1197" w:rsidP="3AF6E536">
            <w:pPr>
              <w:pStyle w:val="paragraph"/>
              <w:spacing w:beforeAutospacing="0" w:after="0" w:afterAutospacing="0"/>
              <w:rPr>
                <w:rFonts w:ascii="Calibri" w:hAnsi="Calibri" w:cs="Calibri"/>
                <w:sz w:val="24"/>
                <w:szCs w:val="24"/>
              </w:rPr>
            </w:pPr>
          </w:p>
          <w:p w14:paraId="223638FA" w14:textId="77777777" w:rsidR="006E1197" w:rsidRDefault="006E1197" w:rsidP="3AF6E536">
            <w:pPr>
              <w:pStyle w:val="paragraph"/>
              <w:spacing w:beforeAutospacing="0" w:after="0" w:afterAutospacing="0"/>
              <w:rPr>
                <w:rFonts w:ascii="Calibri" w:hAnsi="Calibri" w:cs="Calibri"/>
                <w:sz w:val="24"/>
                <w:szCs w:val="24"/>
              </w:rPr>
            </w:pPr>
          </w:p>
        </w:tc>
        <w:tc>
          <w:tcPr>
            <w:tcW w:w="1196" w:type="dxa"/>
          </w:tcPr>
          <w:p w14:paraId="153499FA" w14:textId="77777777" w:rsidR="006E1197" w:rsidRPr="00ED0C36" w:rsidRDefault="3AF6E536" w:rsidP="3AF6E536">
            <w:pPr>
              <w:pStyle w:val="paragraph"/>
              <w:spacing w:beforeAutospacing="0" w:after="0" w:afterAutospacing="0"/>
              <w:jc w:val="center"/>
              <w:rPr>
                <w:rFonts w:ascii="Calibri" w:hAnsi="Calibri" w:cs="Calibri"/>
                <w:b/>
                <w:bCs/>
                <w:sz w:val="24"/>
                <w:szCs w:val="24"/>
              </w:rPr>
            </w:pPr>
            <w:r w:rsidRPr="3AF6E536">
              <w:rPr>
                <w:rFonts w:ascii="Calibri" w:hAnsi="Calibri" w:cs="Calibri"/>
                <w:b/>
                <w:bCs/>
                <w:sz w:val="24"/>
                <w:szCs w:val="24"/>
              </w:rPr>
              <w:t>Max Points</w:t>
            </w:r>
          </w:p>
        </w:tc>
        <w:tc>
          <w:tcPr>
            <w:tcW w:w="1174" w:type="dxa"/>
            <w:vAlign w:val="center"/>
          </w:tcPr>
          <w:p w14:paraId="1E03C66B" w14:textId="77777777" w:rsidR="006E1197" w:rsidRPr="00ED0C36" w:rsidRDefault="3AF6E536" w:rsidP="3AF6E536">
            <w:pPr>
              <w:pStyle w:val="paragraph"/>
              <w:spacing w:beforeAutospacing="0" w:after="0" w:afterAutospacing="0"/>
              <w:jc w:val="center"/>
              <w:rPr>
                <w:rFonts w:ascii="Calibri" w:hAnsi="Calibri" w:cs="Calibri"/>
                <w:b/>
                <w:bCs/>
                <w:sz w:val="24"/>
                <w:szCs w:val="24"/>
              </w:rPr>
            </w:pPr>
            <w:r w:rsidRPr="3AF6E536">
              <w:rPr>
                <w:rFonts w:ascii="Calibri" w:hAnsi="Calibri" w:cs="Calibri"/>
                <w:b/>
                <w:bCs/>
                <w:sz w:val="24"/>
                <w:szCs w:val="24"/>
              </w:rPr>
              <w:t>Score</w:t>
            </w:r>
          </w:p>
        </w:tc>
      </w:tr>
      <w:tr w:rsidR="006E1197" w14:paraId="16EAB27B" w14:textId="77777777" w:rsidTr="5B00F2EB">
        <w:trPr>
          <w:trHeight w:val="300"/>
        </w:trPr>
        <w:tc>
          <w:tcPr>
            <w:tcW w:w="7075" w:type="dxa"/>
          </w:tcPr>
          <w:p w14:paraId="4CD62729" w14:textId="77777777" w:rsidR="006E1197" w:rsidRDefault="3AF6E536" w:rsidP="3AF6E536">
            <w:pPr>
              <w:pStyle w:val="paragraph"/>
              <w:spacing w:beforeAutospacing="0" w:after="0" w:afterAutospacing="0"/>
              <w:rPr>
                <w:rFonts w:ascii="Calibri" w:hAnsi="Calibri" w:cs="Calibri"/>
                <w:sz w:val="24"/>
                <w:szCs w:val="24"/>
              </w:rPr>
            </w:pPr>
            <w:r w:rsidRPr="3AF6E536">
              <w:rPr>
                <w:rFonts w:ascii="Calibri" w:hAnsi="Calibri" w:cs="Calibri"/>
                <w:sz w:val="24"/>
                <w:szCs w:val="24"/>
              </w:rPr>
              <w:t>EXPERIENCE</w:t>
            </w:r>
          </w:p>
        </w:tc>
        <w:tc>
          <w:tcPr>
            <w:tcW w:w="1196" w:type="dxa"/>
            <w:shd w:val="clear" w:color="auto" w:fill="D9D9D9" w:themeFill="background1" w:themeFillShade="D9"/>
          </w:tcPr>
          <w:p w14:paraId="4EA91B59" w14:textId="77777777" w:rsidR="006E1197" w:rsidRDefault="006E1197" w:rsidP="3AF6E536">
            <w:pPr>
              <w:pStyle w:val="paragraph"/>
              <w:spacing w:beforeAutospacing="0" w:after="0" w:afterAutospacing="0"/>
              <w:jc w:val="center"/>
              <w:rPr>
                <w:rFonts w:ascii="Calibri" w:hAnsi="Calibri" w:cs="Calibri"/>
                <w:sz w:val="24"/>
                <w:szCs w:val="24"/>
              </w:rPr>
            </w:pPr>
          </w:p>
        </w:tc>
        <w:tc>
          <w:tcPr>
            <w:tcW w:w="1174" w:type="dxa"/>
            <w:shd w:val="clear" w:color="auto" w:fill="D9D9D9" w:themeFill="background1" w:themeFillShade="D9"/>
          </w:tcPr>
          <w:p w14:paraId="488AFBCD" w14:textId="77777777" w:rsidR="006E1197" w:rsidRDefault="006E1197" w:rsidP="3AF6E536">
            <w:pPr>
              <w:pStyle w:val="paragraph"/>
              <w:spacing w:beforeAutospacing="0" w:after="0" w:afterAutospacing="0"/>
              <w:rPr>
                <w:rFonts w:ascii="Calibri" w:hAnsi="Calibri" w:cs="Calibri"/>
                <w:sz w:val="24"/>
                <w:szCs w:val="24"/>
              </w:rPr>
            </w:pPr>
          </w:p>
        </w:tc>
      </w:tr>
      <w:tr w:rsidR="006E1197" w14:paraId="7B5CBDF2" w14:textId="77777777" w:rsidTr="5B00F2EB">
        <w:trPr>
          <w:trHeight w:val="300"/>
        </w:trPr>
        <w:tc>
          <w:tcPr>
            <w:tcW w:w="7075" w:type="dxa"/>
          </w:tcPr>
          <w:p w14:paraId="44CDC557" w14:textId="6A2C33EB" w:rsidR="006E1197" w:rsidRDefault="10219D72" w:rsidP="3AF6E536">
            <w:pPr>
              <w:pStyle w:val="paragraph"/>
              <w:widowControl/>
              <w:numPr>
                <w:ilvl w:val="0"/>
                <w:numId w:val="7"/>
              </w:numPr>
              <w:autoSpaceDE/>
              <w:autoSpaceDN/>
              <w:spacing w:beforeAutospacing="0" w:after="0" w:afterAutospacing="0"/>
              <w:rPr>
                <w:rFonts w:ascii="Calibri" w:hAnsi="Calibri" w:cs="Calibri"/>
                <w:sz w:val="24"/>
                <w:szCs w:val="24"/>
              </w:rPr>
            </w:pPr>
            <w:r w:rsidRPr="10219D72">
              <w:rPr>
                <w:rFonts w:ascii="Calibri" w:hAnsi="Calibri" w:cs="Calibri"/>
                <w:sz w:val="24"/>
                <w:szCs w:val="24"/>
              </w:rPr>
              <w:t>Related experience/background with public entity projects</w:t>
            </w:r>
          </w:p>
        </w:tc>
        <w:tc>
          <w:tcPr>
            <w:tcW w:w="1196" w:type="dxa"/>
          </w:tcPr>
          <w:p w14:paraId="25187E56" w14:textId="4B923A45"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15</w:t>
            </w:r>
          </w:p>
        </w:tc>
        <w:tc>
          <w:tcPr>
            <w:tcW w:w="1174" w:type="dxa"/>
          </w:tcPr>
          <w:p w14:paraId="37B37A04" w14:textId="77777777" w:rsidR="006E1197" w:rsidRDefault="006E1197" w:rsidP="3AF6E536">
            <w:pPr>
              <w:pStyle w:val="paragraph"/>
              <w:spacing w:beforeAutospacing="0" w:after="0" w:afterAutospacing="0"/>
              <w:rPr>
                <w:rFonts w:ascii="Calibri" w:hAnsi="Calibri" w:cs="Calibri"/>
                <w:sz w:val="24"/>
                <w:szCs w:val="24"/>
              </w:rPr>
            </w:pPr>
          </w:p>
        </w:tc>
      </w:tr>
      <w:tr w:rsidR="006E1197" w14:paraId="77C01BC3" w14:textId="77777777" w:rsidTr="5B00F2EB">
        <w:trPr>
          <w:trHeight w:val="300"/>
        </w:trPr>
        <w:tc>
          <w:tcPr>
            <w:tcW w:w="7075" w:type="dxa"/>
          </w:tcPr>
          <w:p w14:paraId="2FEFEC98" w14:textId="77777777" w:rsidR="006E1197" w:rsidRDefault="3AF6E536" w:rsidP="3AF6E536">
            <w:pPr>
              <w:pStyle w:val="paragraph"/>
              <w:widowControl/>
              <w:numPr>
                <w:ilvl w:val="0"/>
                <w:numId w:val="7"/>
              </w:numPr>
              <w:autoSpaceDE/>
              <w:autoSpaceDN/>
              <w:spacing w:beforeAutospacing="0" w:after="0" w:afterAutospacing="0"/>
              <w:rPr>
                <w:rFonts w:ascii="Calibri" w:hAnsi="Calibri" w:cs="Calibri"/>
                <w:sz w:val="24"/>
                <w:szCs w:val="24"/>
              </w:rPr>
            </w:pPr>
            <w:r w:rsidRPr="3AF6E536">
              <w:rPr>
                <w:rFonts w:ascii="Calibri" w:hAnsi="Calibri" w:cs="Calibri"/>
                <w:sz w:val="24"/>
                <w:szCs w:val="24"/>
              </w:rPr>
              <w:t>Related experience/background with specific project type (water/wastewater)</w:t>
            </w:r>
          </w:p>
        </w:tc>
        <w:tc>
          <w:tcPr>
            <w:tcW w:w="1196" w:type="dxa"/>
          </w:tcPr>
          <w:p w14:paraId="22544A7A" w14:textId="0D72EFB4"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15</w:t>
            </w:r>
          </w:p>
        </w:tc>
        <w:tc>
          <w:tcPr>
            <w:tcW w:w="1174" w:type="dxa"/>
          </w:tcPr>
          <w:p w14:paraId="16B9FA32" w14:textId="77777777" w:rsidR="006E1197" w:rsidRDefault="006E1197" w:rsidP="3AF6E536">
            <w:pPr>
              <w:pStyle w:val="paragraph"/>
              <w:spacing w:beforeAutospacing="0" w:after="0" w:afterAutospacing="0"/>
              <w:rPr>
                <w:rFonts w:ascii="Calibri" w:hAnsi="Calibri" w:cs="Calibri"/>
                <w:sz w:val="24"/>
                <w:szCs w:val="24"/>
              </w:rPr>
            </w:pPr>
          </w:p>
        </w:tc>
      </w:tr>
      <w:tr w:rsidR="006E1197" w14:paraId="225D2868" w14:textId="77777777" w:rsidTr="5B00F2EB">
        <w:trPr>
          <w:trHeight w:val="300"/>
        </w:trPr>
        <w:tc>
          <w:tcPr>
            <w:tcW w:w="7075" w:type="dxa"/>
          </w:tcPr>
          <w:p w14:paraId="1FF6129C" w14:textId="77777777" w:rsidR="006E1197" w:rsidRDefault="3AF6E536" w:rsidP="3AF6E536">
            <w:pPr>
              <w:pStyle w:val="paragraph"/>
              <w:widowControl/>
              <w:numPr>
                <w:ilvl w:val="0"/>
                <w:numId w:val="7"/>
              </w:numPr>
              <w:autoSpaceDE/>
              <w:autoSpaceDN/>
              <w:spacing w:beforeAutospacing="0" w:after="0" w:afterAutospacing="0"/>
              <w:rPr>
                <w:rFonts w:ascii="Calibri" w:hAnsi="Calibri" w:cs="Calibri"/>
                <w:sz w:val="24"/>
                <w:szCs w:val="24"/>
              </w:rPr>
            </w:pPr>
            <w:r w:rsidRPr="3AF6E536">
              <w:rPr>
                <w:rFonts w:ascii="Calibri" w:hAnsi="Calibri" w:cs="Calibri"/>
                <w:sz w:val="24"/>
                <w:szCs w:val="24"/>
              </w:rPr>
              <w:t>References from current/past clients</w:t>
            </w:r>
          </w:p>
        </w:tc>
        <w:tc>
          <w:tcPr>
            <w:tcW w:w="1196" w:type="dxa"/>
          </w:tcPr>
          <w:p w14:paraId="3E34AD6F" w14:textId="64751CD1"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15</w:t>
            </w:r>
          </w:p>
        </w:tc>
        <w:tc>
          <w:tcPr>
            <w:tcW w:w="1174" w:type="dxa"/>
          </w:tcPr>
          <w:p w14:paraId="05EE4F19" w14:textId="77777777" w:rsidR="006E1197" w:rsidRDefault="006E1197" w:rsidP="3AF6E536">
            <w:pPr>
              <w:pStyle w:val="paragraph"/>
              <w:spacing w:beforeAutospacing="0" w:after="0" w:afterAutospacing="0"/>
              <w:rPr>
                <w:rFonts w:ascii="Calibri" w:hAnsi="Calibri" w:cs="Calibri"/>
                <w:sz w:val="24"/>
                <w:szCs w:val="24"/>
              </w:rPr>
            </w:pPr>
          </w:p>
        </w:tc>
      </w:tr>
      <w:tr w:rsidR="006E1197" w14:paraId="05BF5957" w14:textId="77777777" w:rsidTr="5B00F2EB">
        <w:trPr>
          <w:trHeight w:val="300"/>
        </w:trPr>
        <w:tc>
          <w:tcPr>
            <w:tcW w:w="7075" w:type="dxa"/>
          </w:tcPr>
          <w:p w14:paraId="6AE3EBB4" w14:textId="77777777" w:rsidR="006E1197" w:rsidRPr="00ED0C36" w:rsidRDefault="3AF6E536" w:rsidP="3AF6E536">
            <w:pPr>
              <w:pStyle w:val="paragraph"/>
              <w:spacing w:beforeAutospacing="0" w:after="0" w:afterAutospacing="0"/>
              <w:jc w:val="right"/>
              <w:rPr>
                <w:rFonts w:ascii="Calibri" w:hAnsi="Calibri" w:cs="Calibri"/>
                <w:b/>
                <w:bCs/>
                <w:sz w:val="24"/>
                <w:szCs w:val="24"/>
              </w:rPr>
            </w:pPr>
            <w:r w:rsidRPr="3AF6E536">
              <w:rPr>
                <w:rFonts w:ascii="Calibri" w:hAnsi="Calibri" w:cs="Calibri"/>
                <w:b/>
                <w:bCs/>
                <w:sz w:val="24"/>
                <w:szCs w:val="24"/>
              </w:rPr>
              <w:t>Subtotal, EXPERIENCE</w:t>
            </w:r>
          </w:p>
        </w:tc>
        <w:tc>
          <w:tcPr>
            <w:tcW w:w="1196" w:type="dxa"/>
          </w:tcPr>
          <w:p w14:paraId="44D654FF" w14:textId="6D555906" w:rsidR="006E1197" w:rsidRPr="00ED0C36" w:rsidRDefault="5B00F2EB" w:rsidP="3AF6E536">
            <w:pPr>
              <w:pStyle w:val="paragraph"/>
              <w:spacing w:beforeAutospacing="0" w:after="0" w:afterAutospacing="0"/>
              <w:jc w:val="center"/>
              <w:rPr>
                <w:rFonts w:ascii="Calibri" w:hAnsi="Calibri" w:cs="Calibri"/>
                <w:b/>
                <w:bCs/>
                <w:sz w:val="24"/>
                <w:szCs w:val="24"/>
              </w:rPr>
            </w:pPr>
            <w:r w:rsidRPr="5B00F2EB">
              <w:rPr>
                <w:rFonts w:ascii="Calibri" w:hAnsi="Calibri" w:cs="Calibri"/>
                <w:b/>
                <w:bCs/>
                <w:sz w:val="24"/>
                <w:szCs w:val="24"/>
              </w:rPr>
              <w:t>45</w:t>
            </w:r>
          </w:p>
        </w:tc>
        <w:tc>
          <w:tcPr>
            <w:tcW w:w="1174" w:type="dxa"/>
          </w:tcPr>
          <w:p w14:paraId="6D87972C" w14:textId="77777777" w:rsidR="006E1197" w:rsidRPr="00ED0C36" w:rsidRDefault="006E1197" w:rsidP="3AF6E536">
            <w:pPr>
              <w:pStyle w:val="paragraph"/>
              <w:spacing w:beforeAutospacing="0" w:after="0" w:afterAutospacing="0"/>
              <w:rPr>
                <w:rFonts w:ascii="Calibri" w:hAnsi="Calibri" w:cs="Calibri"/>
                <w:b/>
                <w:bCs/>
                <w:sz w:val="24"/>
                <w:szCs w:val="24"/>
              </w:rPr>
            </w:pPr>
          </w:p>
        </w:tc>
      </w:tr>
      <w:tr w:rsidR="006E1197" w14:paraId="68376AA8" w14:textId="77777777" w:rsidTr="5B00F2EB">
        <w:trPr>
          <w:trHeight w:val="300"/>
        </w:trPr>
        <w:tc>
          <w:tcPr>
            <w:tcW w:w="7075" w:type="dxa"/>
          </w:tcPr>
          <w:p w14:paraId="18D316BB" w14:textId="77777777" w:rsidR="006E1197" w:rsidRDefault="3AF6E536" w:rsidP="3AF6E536">
            <w:pPr>
              <w:pStyle w:val="paragraph"/>
              <w:spacing w:beforeAutospacing="0" w:after="0" w:afterAutospacing="0"/>
              <w:rPr>
                <w:rFonts w:ascii="Calibri" w:hAnsi="Calibri" w:cs="Calibri"/>
                <w:sz w:val="24"/>
                <w:szCs w:val="24"/>
              </w:rPr>
            </w:pPr>
            <w:r w:rsidRPr="3AF6E536">
              <w:rPr>
                <w:rFonts w:ascii="Calibri" w:hAnsi="Calibri" w:cs="Calibri"/>
                <w:sz w:val="24"/>
                <w:szCs w:val="24"/>
              </w:rPr>
              <w:t>WORK PERFORMANCE</w:t>
            </w:r>
          </w:p>
        </w:tc>
        <w:tc>
          <w:tcPr>
            <w:tcW w:w="1196" w:type="dxa"/>
            <w:shd w:val="clear" w:color="auto" w:fill="D9D9D9" w:themeFill="background1" w:themeFillShade="D9"/>
          </w:tcPr>
          <w:p w14:paraId="751BB948" w14:textId="77777777" w:rsidR="006E1197" w:rsidRDefault="006E1197" w:rsidP="3AF6E536">
            <w:pPr>
              <w:pStyle w:val="paragraph"/>
              <w:spacing w:beforeAutospacing="0" w:after="0" w:afterAutospacing="0"/>
              <w:jc w:val="center"/>
              <w:rPr>
                <w:rFonts w:ascii="Calibri" w:hAnsi="Calibri" w:cs="Calibri"/>
                <w:sz w:val="24"/>
                <w:szCs w:val="24"/>
              </w:rPr>
            </w:pPr>
          </w:p>
        </w:tc>
        <w:tc>
          <w:tcPr>
            <w:tcW w:w="1174" w:type="dxa"/>
            <w:shd w:val="clear" w:color="auto" w:fill="D9D9D9" w:themeFill="background1" w:themeFillShade="D9"/>
          </w:tcPr>
          <w:p w14:paraId="439FE595" w14:textId="77777777" w:rsidR="006E1197" w:rsidRDefault="006E1197" w:rsidP="3AF6E536">
            <w:pPr>
              <w:pStyle w:val="paragraph"/>
              <w:spacing w:beforeAutospacing="0" w:after="0" w:afterAutospacing="0"/>
              <w:rPr>
                <w:rFonts w:ascii="Calibri" w:hAnsi="Calibri" w:cs="Calibri"/>
                <w:sz w:val="24"/>
                <w:szCs w:val="24"/>
              </w:rPr>
            </w:pPr>
          </w:p>
        </w:tc>
      </w:tr>
      <w:tr w:rsidR="006E1197" w14:paraId="21C1DCBB" w14:textId="77777777" w:rsidTr="5B00F2EB">
        <w:trPr>
          <w:trHeight w:val="300"/>
        </w:trPr>
        <w:tc>
          <w:tcPr>
            <w:tcW w:w="7075" w:type="dxa"/>
          </w:tcPr>
          <w:p w14:paraId="31038D98" w14:textId="77777777" w:rsidR="006E1197" w:rsidRDefault="3AF6E536" w:rsidP="3AF6E536">
            <w:pPr>
              <w:pStyle w:val="paragraph"/>
              <w:widowControl/>
              <w:numPr>
                <w:ilvl w:val="0"/>
                <w:numId w:val="8"/>
              </w:numPr>
              <w:autoSpaceDE/>
              <w:autoSpaceDN/>
              <w:spacing w:beforeAutospacing="0" w:after="0" w:afterAutospacing="0"/>
              <w:rPr>
                <w:rFonts w:ascii="Calibri" w:hAnsi="Calibri" w:cs="Calibri"/>
                <w:sz w:val="24"/>
                <w:szCs w:val="24"/>
              </w:rPr>
            </w:pPr>
            <w:r w:rsidRPr="3AF6E536">
              <w:rPr>
                <w:rFonts w:ascii="Calibri" w:hAnsi="Calibri" w:cs="Calibri"/>
                <w:sz w:val="24"/>
                <w:szCs w:val="24"/>
              </w:rPr>
              <w:t>Communicate with client and related entities in a timely manner</w:t>
            </w:r>
          </w:p>
        </w:tc>
        <w:tc>
          <w:tcPr>
            <w:tcW w:w="1196" w:type="dxa"/>
          </w:tcPr>
          <w:p w14:paraId="705BBC89" w14:textId="6C0337EF"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7</w:t>
            </w:r>
          </w:p>
        </w:tc>
        <w:tc>
          <w:tcPr>
            <w:tcW w:w="1174" w:type="dxa"/>
          </w:tcPr>
          <w:p w14:paraId="0A5CB614" w14:textId="77777777" w:rsidR="006E1197" w:rsidRDefault="006E1197" w:rsidP="3AF6E536">
            <w:pPr>
              <w:pStyle w:val="paragraph"/>
              <w:spacing w:beforeAutospacing="0" w:after="0" w:afterAutospacing="0"/>
              <w:rPr>
                <w:rFonts w:ascii="Calibri" w:hAnsi="Calibri" w:cs="Calibri"/>
                <w:sz w:val="24"/>
                <w:szCs w:val="24"/>
              </w:rPr>
            </w:pPr>
          </w:p>
        </w:tc>
      </w:tr>
      <w:tr w:rsidR="006E1197" w14:paraId="15D2C6DB" w14:textId="77777777" w:rsidTr="5B00F2EB">
        <w:trPr>
          <w:trHeight w:val="300"/>
        </w:trPr>
        <w:tc>
          <w:tcPr>
            <w:tcW w:w="7075" w:type="dxa"/>
          </w:tcPr>
          <w:p w14:paraId="253DC601" w14:textId="46CF6BCD" w:rsidR="006E1197" w:rsidRDefault="3AF6E536" w:rsidP="3AF6E536">
            <w:pPr>
              <w:pStyle w:val="paragraph"/>
              <w:widowControl/>
              <w:numPr>
                <w:ilvl w:val="0"/>
                <w:numId w:val="8"/>
              </w:numPr>
              <w:autoSpaceDE/>
              <w:autoSpaceDN/>
              <w:spacing w:beforeAutospacing="0" w:after="0" w:afterAutospacing="0"/>
              <w:rPr>
                <w:rFonts w:ascii="Calibri" w:hAnsi="Calibri" w:cs="Calibri"/>
                <w:sz w:val="24"/>
                <w:szCs w:val="24"/>
              </w:rPr>
            </w:pPr>
            <w:r w:rsidRPr="3AF6E536">
              <w:rPr>
                <w:rFonts w:ascii="Calibri" w:hAnsi="Calibri" w:cs="Calibri"/>
                <w:sz w:val="24"/>
                <w:szCs w:val="24"/>
              </w:rPr>
              <w:t>Past client projects successfully implemented on time and within budget</w:t>
            </w:r>
          </w:p>
        </w:tc>
        <w:tc>
          <w:tcPr>
            <w:tcW w:w="1196" w:type="dxa"/>
          </w:tcPr>
          <w:p w14:paraId="4DE1E68F" w14:textId="6B3CC42C"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7</w:t>
            </w:r>
          </w:p>
        </w:tc>
        <w:tc>
          <w:tcPr>
            <w:tcW w:w="1174" w:type="dxa"/>
          </w:tcPr>
          <w:p w14:paraId="6E56DFC0" w14:textId="77777777" w:rsidR="006E1197" w:rsidRDefault="006E1197" w:rsidP="3AF6E536">
            <w:pPr>
              <w:pStyle w:val="paragraph"/>
              <w:spacing w:beforeAutospacing="0" w:after="0" w:afterAutospacing="0"/>
              <w:rPr>
                <w:rFonts w:ascii="Calibri" w:hAnsi="Calibri" w:cs="Calibri"/>
                <w:sz w:val="24"/>
                <w:szCs w:val="24"/>
              </w:rPr>
            </w:pPr>
          </w:p>
        </w:tc>
      </w:tr>
      <w:tr w:rsidR="006E1197" w14:paraId="02794BC7" w14:textId="77777777" w:rsidTr="5B00F2EB">
        <w:trPr>
          <w:trHeight w:val="300"/>
        </w:trPr>
        <w:tc>
          <w:tcPr>
            <w:tcW w:w="7075" w:type="dxa"/>
          </w:tcPr>
          <w:p w14:paraId="52238E02" w14:textId="144508A6" w:rsidR="006E1197" w:rsidRDefault="3AF6E536" w:rsidP="3AF6E536">
            <w:pPr>
              <w:pStyle w:val="paragraph"/>
              <w:widowControl/>
              <w:numPr>
                <w:ilvl w:val="0"/>
                <w:numId w:val="8"/>
              </w:numPr>
              <w:autoSpaceDE/>
              <w:autoSpaceDN/>
              <w:spacing w:beforeAutospacing="0" w:after="0" w:afterAutospacing="0"/>
              <w:rPr>
                <w:rFonts w:ascii="Calibri" w:hAnsi="Calibri" w:cs="Calibri"/>
                <w:sz w:val="24"/>
                <w:szCs w:val="24"/>
              </w:rPr>
            </w:pPr>
            <w:r w:rsidRPr="3AF6E536">
              <w:rPr>
                <w:rFonts w:ascii="Calibri" w:hAnsi="Calibri" w:cs="Calibri"/>
                <w:sz w:val="24"/>
                <w:szCs w:val="24"/>
              </w:rPr>
              <w:t>Experience and ability to manage project(s) timely and cost effectively, including management of change orders, contractor(s), and subcontractor(s)</w:t>
            </w:r>
          </w:p>
        </w:tc>
        <w:tc>
          <w:tcPr>
            <w:tcW w:w="1196" w:type="dxa"/>
          </w:tcPr>
          <w:p w14:paraId="390BC363" w14:textId="55DAE0EC"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7</w:t>
            </w:r>
          </w:p>
        </w:tc>
        <w:tc>
          <w:tcPr>
            <w:tcW w:w="1174" w:type="dxa"/>
          </w:tcPr>
          <w:p w14:paraId="13536C95" w14:textId="77777777" w:rsidR="006E1197" w:rsidRDefault="006E1197" w:rsidP="3AF6E536">
            <w:pPr>
              <w:pStyle w:val="paragraph"/>
              <w:spacing w:beforeAutospacing="0" w:after="0" w:afterAutospacing="0"/>
              <w:rPr>
                <w:rFonts w:ascii="Calibri" w:hAnsi="Calibri" w:cs="Calibri"/>
                <w:sz w:val="24"/>
                <w:szCs w:val="24"/>
              </w:rPr>
            </w:pPr>
          </w:p>
        </w:tc>
      </w:tr>
      <w:tr w:rsidR="006E1197" w14:paraId="0E55DAC1" w14:textId="77777777" w:rsidTr="5B00F2EB">
        <w:trPr>
          <w:trHeight w:val="300"/>
        </w:trPr>
        <w:tc>
          <w:tcPr>
            <w:tcW w:w="7075" w:type="dxa"/>
          </w:tcPr>
          <w:p w14:paraId="025CB4E3" w14:textId="77777777" w:rsidR="006E1197" w:rsidRDefault="3AF6E536" w:rsidP="3AF6E536">
            <w:pPr>
              <w:pStyle w:val="paragraph"/>
              <w:widowControl/>
              <w:numPr>
                <w:ilvl w:val="0"/>
                <w:numId w:val="8"/>
              </w:numPr>
              <w:autoSpaceDE/>
              <w:autoSpaceDN/>
              <w:spacing w:beforeAutospacing="0" w:after="0" w:afterAutospacing="0"/>
              <w:rPr>
                <w:rFonts w:ascii="Calibri" w:hAnsi="Calibri" w:cs="Calibri"/>
                <w:sz w:val="24"/>
                <w:szCs w:val="24"/>
              </w:rPr>
            </w:pPr>
            <w:r w:rsidRPr="3AF6E536">
              <w:rPr>
                <w:rFonts w:ascii="Calibri" w:hAnsi="Calibri" w:cs="Calibri"/>
                <w:sz w:val="24"/>
                <w:szCs w:val="24"/>
              </w:rPr>
              <w:t>Work product is consistently of high quality with low level of errors</w:t>
            </w:r>
          </w:p>
        </w:tc>
        <w:tc>
          <w:tcPr>
            <w:tcW w:w="1196" w:type="dxa"/>
          </w:tcPr>
          <w:p w14:paraId="399426A9" w14:textId="66497942"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7</w:t>
            </w:r>
          </w:p>
        </w:tc>
        <w:tc>
          <w:tcPr>
            <w:tcW w:w="1174" w:type="dxa"/>
          </w:tcPr>
          <w:p w14:paraId="039BE2BB" w14:textId="77777777" w:rsidR="006E1197" w:rsidRDefault="006E1197" w:rsidP="3AF6E536">
            <w:pPr>
              <w:pStyle w:val="paragraph"/>
              <w:spacing w:beforeAutospacing="0" w:after="0" w:afterAutospacing="0"/>
              <w:rPr>
                <w:rFonts w:ascii="Calibri" w:hAnsi="Calibri" w:cs="Calibri"/>
                <w:sz w:val="24"/>
                <w:szCs w:val="24"/>
              </w:rPr>
            </w:pPr>
          </w:p>
        </w:tc>
      </w:tr>
      <w:tr w:rsidR="006E1197" w14:paraId="5FA79895" w14:textId="77777777" w:rsidTr="5B00F2EB">
        <w:trPr>
          <w:trHeight w:val="300"/>
        </w:trPr>
        <w:tc>
          <w:tcPr>
            <w:tcW w:w="7075" w:type="dxa"/>
          </w:tcPr>
          <w:p w14:paraId="0EB5E825" w14:textId="717082AC" w:rsidR="006E1197" w:rsidRDefault="3AF6E536" w:rsidP="3AF6E536">
            <w:pPr>
              <w:pStyle w:val="paragraph"/>
              <w:widowControl/>
              <w:numPr>
                <w:ilvl w:val="0"/>
                <w:numId w:val="8"/>
              </w:numPr>
              <w:autoSpaceDE/>
              <w:autoSpaceDN/>
              <w:spacing w:beforeAutospacing="0" w:after="0" w:afterAutospacing="0"/>
              <w:rPr>
                <w:rFonts w:ascii="Calibri" w:hAnsi="Calibri" w:cs="Calibri"/>
                <w:sz w:val="24"/>
                <w:szCs w:val="24"/>
              </w:rPr>
            </w:pPr>
            <w:r w:rsidRPr="3AF6E536">
              <w:rPr>
                <w:rFonts w:ascii="Calibri" w:hAnsi="Calibri" w:cs="Calibri"/>
                <w:sz w:val="24"/>
                <w:szCs w:val="24"/>
              </w:rPr>
              <w:t xml:space="preserve">Design documents shared with regulatory agency or agencies sufficient to ensure acceptable standards </w:t>
            </w:r>
          </w:p>
        </w:tc>
        <w:tc>
          <w:tcPr>
            <w:tcW w:w="1196" w:type="dxa"/>
          </w:tcPr>
          <w:p w14:paraId="73979899" w14:textId="0F6BD51B"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7</w:t>
            </w:r>
          </w:p>
        </w:tc>
        <w:tc>
          <w:tcPr>
            <w:tcW w:w="1174" w:type="dxa"/>
          </w:tcPr>
          <w:p w14:paraId="19C61886" w14:textId="77777777" w:rsidR="006E1197" w:rsidRDefault="006E1197" w:rsidP="3AF6E536">
            <w:pPr>
              <w:pStyle w:val="paragraph"/>
              <w:spacing w:beforeAutospacing="0" w:after="0" w:afterAutospacing="0"/>
              <w:rPr>
                <w:rFonts w:ascii="Calibri" w:hAnsi="Calibri" w:cs="Calibri"/>
                <w:sz w:val="24"/>
                <w:szCs w:val="24"/>
              </w:rPr>
            </w:pPr>
          </w:p>
        </w:tc>
      </w:tr>
      <w:tr w:rsidR="006E1197" w14:paraId="667649A5" w14:textId="77777777" w:rsidTr="5B00F2EB">
        <w:trPr>
          <w:trHeight w:val="300"/>
        </w:trPr>
        <w:tc>
          <w:tcPr>
            <w:tcW w:w="7075" w:type="dxa"/>
          </w:tcPr>
          <w:p w14:paraId="3B95660B" w14:textId="77777777" w:rsidR="006E1197" w:rsidRDefault="3AF6E536" w:rsidP="3AF6E536">
            <w:pPr>
              <w:pStyle w:val="paragraph"/>
              <w:spacing w:beforeAutospacing="0" w:after="0" w:afterAutospacing="0"/>
              <w:jc w:val="right"/>
              <w:rPr>
                <w:rFonts w:ascii="Calibri" w:hAnsi="Calibri" w:cs="Calibri"/>
                <w:sz w:val="24"/>
                <w:szCs w:val="24"/>
              </w:rPr>
            </w:pPr>
            <w:r w:rsidRPr="3AF6E536">
              <w:rPr>
                <w:rFonts w:ascii="Calibri" w:hAnsi="Calibri" w:cs="Calibri"/>
                <w:b/>
                <w:bCs/>
                <w:sz w:val="24"/>
                <w:szCs w:val="24"/>
              </w:rPr>
              <w:t>Subtotal, WORK PERFORMANCE</w:t>
            </w:r>
          </w:p>
        </w:tc>
        <w:tc>
          <w:tcPr>
            <w:tcW w:w="1196" w:type="dxa"/>
          </w:tcPr>
          <w:p w14:paraId="6D788CA2" w14:textId="1FD1F849" w:rsidR="006E1197" w:rsidRDefault="5B00F2EB" w:rsidP="3AF6E536">
            <w:pPr>
              <w:pStyle w:val="paragraph"/>
              <w:spacing w:beforeAutospacing="0" w:after="0" w:afterAutospacing="0"/>
              <w:jc w:val="center"/>
              <w:rPr>
                <w:rFonts w:ascii="Calibri" w:hAnsi="Calibri" w:cs="Calibri"/>
                <w:b/>
                <w:bCs/>
                <w:sz w:val="24"/>
                <w:szCs w:val="24"/>
              </w:rPr>
            </w:pPr>
            <w:r w:rsidRPr="5B00F2EB">
              <w:rPr>
                <w:rFonts w:ascii="Calibri" w:hAnsi="Calibri" w:cs="Calibri"/>
                <w:b/>
                <w:bCs/>
                <w:sz w:val="24"/>
                <w:szCs w:val="24"/>
              </w:rPr>
              <w:t>35</w:t>
            </w:r>
          </w:p>
        </w:tc>
        <w:tc>
          <w:tcPr>
            <w:tcW w:w="1174" w:type="dxa"/>
          </w:tcPr>
          <w:p w14:paraId="44B81E7C" w14:textId="77777777" w:rsidR="006E1197" w:rsidRDefault="006E1197" w:rsidP="3AF6E536">
            <w:pPr>
              <w:pStyle w:val="paragraph"/>
              <w:spacing w:beforeAutospacing="0" w:after="0" w:afterAutospacing="0"/>
              <w:rPr>
                <w:rFonts w:ascii="Calibri" w:hAnsi="Calibri" w:cs="Calibri"/>
                <w:sz w:val="24"/>
                <w:szCs w:val="24"/>
              </w:rPr>
            </w:pPr>
          </w:p>
        </w:tc>
      </w:tr>
      <w:tr w:rsidR="006E1197" w14:paraId="56B8BFAC" w14:textId="77777777" w:rsidTr="5B00F2EB">
        <w:trPr>
          <w:trHeight w:val="300"/>
        </w:trPr>
        <w:tc>
          <w:tcPr>
            <w:tcW w:w="7075" w:type="dxa"/>
          </w:tcPr>
          <w:p w14:paraId="62F42D89" w14:textId="77777777" w:rsidR="006E1197" w:rsidRPr="00ED0C36" w:rsidRDefault="3AF6E536" w:rsidP="3AF6E536">
            <w:pPr>
              <w:pStyle w:val="paragraph"/>
              <w:spacing w:beforeAutospacing="0" w:after="0" w:afterAutospacing="0"/>
              <w:rPr>
                <w:rFonts w:ascii="Calibri" w:hAnsi="Calibri" w:cs="Calibri"/>
                <w:b/>
                <w:bCs/>
                <w:sz w:val="24"/>
                <w:szCs w:val="24"/>
              </w:rPr>
            </w:pPr>
            <w:r w:rsidRPr="3AF6E536">
              <w:rPr>
                <w:rFonts w:ascii="Calibri" w:hAnsi="Calibri" w:cs="Calibri"/>
                <w:sz w:val="24"/>
                <w:szCs w:val="24"/>
              </w:rPr>
              <w:t>CAPACITY TO PERFORM</w:t>
            </w:r>
          </w:p>
        </w:tc>
        <w:tc>
          <w:tcPr>
            <w:tcW w:w="1196" w:type="dxa"/>
            <w:shd w:val="clear" w:color="auto" w:fill="D9D9D9" w:themeFill="background1" w:themeFillShade="D9"/>
          </w:tcPr>
          <w:p w14:paraId="4C83BE81" w14:textId="77777777" w:rsidR="006E1197" w:rsidRDefault="006E1197" w:rsidP="3AF6E536">
            <w:pPr>
              <w:pStyle w:val="paragraph"/>
              <w:spacing w:beforeAutospacing="0" w:after="0" w:afterAutospacing="0"/>
              <w:jc w:val="center"/>
              <w:rPr>
                <w:rFonts w:ascii="Calibri" w:hAnsi="Calibri" w:cs="Calibri"/>
                <w:sz w:val="24"/>
                <w:szCs w:val="24"/>
              </w:rPr>
            </w:pPr>
          </w:p>
        </w:tc>
        <w:tc>
          <w:tcPr>
            <w:tcW w:w="1174" w:type="dxa"/>
            <w:shd w:val="clear" w:color="auto" w:fill="D9D9D9" w:themeFill="background1" w:themeFillShade="D9"/>
          </w:tcPr>
          <w:p w14:paraId="75303D9E" w14:textId="77777777" w:rsidR="006E1197" w:rsidRDefault="006E1197" w:rsidP="3AF6E536">
            <w:pPr>
              <w:pStyle w:val="paragraph"/>
              <w:spacing w:beforeAutospacing="0" w:after="0" w:afterAutospacing="0"/>
              <w:rPr>
                <w:rFonts w:ascii="Calibri" w:hAnsi="Calibri" w:cs="Calibri"/>
                <w:sz w:val="24"/>
                <w:szCs w:val="24"/>
              </w:rPr>
            </w:pPr>
          </w:p>
        </w:tc>
      </w:tr>
      <w:tr w:rsidR="006E1197" w14:paraId="72DE59B6" w14:textId="77777777" w:rsidTr="5B00F2EB">
        <w:trPr>
          <w:trHeight w:val="300"/>
        </w:trPr>
        <w:tc>
          <w:tcPr>
            <w:tcW w:w="7075" w:type="dxa"/>
          </w:tcPr>
          <w:p w14:paraId="089E0B45" w14:textId="77777777" w:rsidR="006E1197" w:rsidRDefault="3AF6E536" w:rsidP="3AF6E536">
            <w:pPr>
              <w:pStyle w:val="paragraph"/>
              <w:widowControl/>
              <w:numPr>
                <w:ilvl w:val="0"/>
                <w:numId w:val="6"/>
              </w:numPr>
              <w:autoSpaceDE/>
              <w:autoSpaceDN/>
              <w:spacing w:beforeAutospacing="0" w:after="0" w:afterAutospacing="0"/>
              <w:rPr>
                <w:rFonts w:ascii="Calibri" w:hAnsi="Calibri" w:cs="Calibri"/>
                <w:sz w:val="24"/>
                <w:szCs w:val="24"/>
              </w:rPr>
            </w:pPr>
            <w:r w:rsidRPr="3AF6E536">
              <w:rPr>
                <w:rFonts w:ascii="Calibri" w:hAnsi="Calibri" w:cs="Calibri"/>
                <w:sz w:val="24"/>
                <w:szCs w:val="24"/>
              </w:rPr>
              <w:t>Qualifications of professional administrators/experience of staff</w:t>
            </w:r>
          </w:p>
        </w:tc>
        <w:tc>
          <w:tcPr>
            <w:tcW w:w="1196" w:type="dxa"/>
            <w:shd w:val="clear" w:color="auto" w:fill="FFFFFF" w:themeFill="background1"/>
          </w:tcPr>
          <w:p w14:paraId="32230B1E" w14:textId="77777777" w:rsidR="006E1197" w:rsidRDefault="3AF6E536" w:rsidP="3AF6E536">
            <w:pPr>
              <w:pStyle w:val="paragraph"/>
              <w:spacing w:beforeAutospacing="0" w:after="0" w:afterAutospacing="0"/>
              <w:jc w:val="center"/>
              <w:rPr>
                <w:rFonts w:ascii="Calibri" w:hAnsi="Calibri" w:cs="Calibri"/>
                <w:sz w:val="24"/>
                <w:szCs w:val="24"/>
              </w:rPr>
            </w:pPr>
            <w:r w:rsidRPr="3AF6E536">
              <w:rPr>
                <w:rFonts w:ascii="Calibri" w:hAnsi="Calibri" w:cs="Calibri"/>
                <w:sz w:val="24"/>
                <w:szCs w:val="24"/>
              </w:rPr>
              <w:t>5</w:t>
            </w:r>
          </w:p>
        </w:tc>
        <w:tc>
          <w:tcPr>
            <w:tcW w:w="1174" w:type="dxa"/>
            <w:shd w:val="clear" w:color="auto" w:fill="FFFFFF" w:themeFill="background1"/>
          </w:tcPr>
          <w:p w14:paraId="056E4875" w14:textId="77777777" w:rsidR="006E1197" w:rsidRDefault="006E1197" w:rsidP="3AF6E536">
            <w:pPr>
              <w:pStyle w:val="paragraph"/>
              <w:spacing w:beforeAutospacing="0" w:after="0" w:afterAutospacing="0"/>
              <w:rPr>
                <w:rFonts w:ascii="Calibri" w:hAnsi="Calibri" w:cs="Calibri"/>
                <w:sz w:val="24"/>
                <w:szCs w:val="24"/>
              </w:rPr>
            </w:pPr>
          </w:p>
        </w:tc>
      </w:tr>
      <w:tr w:rsidR="006E1197" w14:paraId="493113F4" w14:textId="77777777" w:rsidTr="5B00F2EB">
        <w:trPr>
          <w:trHeight w:val="300"/>
        </w:trPr>
        <w:tc>
          <w:tcPr>
            <w:tcW w:w="7075" w:type="dxa"/>
          </w:tcPr>
          <w:p w14:paraId="57249792" w14:textId="77777777" w:rsidR="006E1197" w:rsidRDefault="3AF6E536" w:rsidP="3AF6E536">
            <w:pPr>
              <w:pStyle w:val="paragraph"/>
              <w:widowControl/>
              <w:numPr>
                <w:ilvl w:val="0"/>
                <w:numId w:val="6"/>
              </w:numPr>
              <w:autoSpaceDE/>
              <w:autoSpaceDN/>
              <w:spacing w:beforeAutospacing="0" w:after="0" w:afterAutospacing="0"/>
              <w:rPr>
                <w:rFonts w:ascii="Calibri" w:hAnsi="Calibri" w:cs="Calibri"/>
                <w:sz w:val="24"/>
                <w:szCs w:val="24"/>
              </w:rPr>
            </w:pPr>
            <w:r w:rsidRPr="3AF6E536">
              <w:rPr>
                <w:rFonts w:ascii="Calibri" w:hAnsi="Calibri" w:cs="Calibri"/>
                <w:sz w:val="24"/>
                <w:szCs w:val="24"/>
              </w:rPr>
              <w:t>Present and projected workloads</w:t>
            </w:r>
          </w:p>
        </w:tc>
        <w:tc>
          <w:tcPr>
            <w:tcW w:w="1196" w:type="dxa"/>
          </w:tcPr>
          <w:p w14:paraId="31D7B101" w14:textId="77777777" w:rsidR="006E1197" w:rsidRDefault="3AF6E536" w:rsidP="3AF6E536">
            <w:pPr>
              <w:pStyle w:val="paragraph"/>
              <w:spacing w:beforeAutospacing="0" w:after="0" w:afterAutospacing="0"/>
              <w:jc w:val="center"/>
              <w:rPr>
                <w:rFonts w:ascii="Calibri" w:hAnsi="Calibri" w:cs="Calibri"/>
                <w:sz w:val="24"/>
                <w:szCs w:val="24"/>
              </w:rPr>
            </w:pPr>
            <w:r w:rsidRPr="3AF6E536">
              <w:rPr>
                <w:rFonts w:ascii="Calibri" w:hAnsi="Calibri" w:cs="Calibri"/>
                <w:sz w:val="24"/>
                <w:szCs w:val="24"/>
              </w:rPr>
              <w:t>5</w:t>
            </w:r>
          </w:p>
        </w:tc>
        <w:tc>
          <w:tcPr>
            <w:tcW w:w="1174" w:type="dxa"/>
          </w:tcPr>
          <w:p w14:paraId="3AAE3B98" w14:textId="77777777" w:rsidR="006E1197" w:rsidRDefault="006E1197" w:rsidP="3AF6E536">
            <w:pPr>
              <w:pStyle w:val="paragraph"/>
              <w:spacing w:beforeAutospacing="0" w:after="0" w:afterAutospacing="0"/>
              <w:rPr>
                <w:rFonts w:ascii="Calibri" w:hAnsi="Calibri" w:cs="Calibri"/>
                <w:sz w:val="24"/>
                <w:szCs w:val="24"/>
              </w:rPr>
            </w:pPr>
          </w:p>
        </w:tc>
      </w:tr>
      <w:tr w:rsidR="006E1197" w14:paraId="68E71300" w14:textId="77777777" w:rsidTr="5B00F2EB">
        <w:trPr>
          <w:trHeight w:val="300"/>
        </w:trPr>
        <w:tc>
          <w:tcPr>
            <w:tcW w:w="7075" w:type="dxa"/>
          </w:tcPr>
          <w:p w14:paraId="7AD75A65" w14:textId="77777777" w:rsidR="006E1197" w:rsidRDefault="3AF6E536" w:rsidP="3AF6E536">
            <w:pPr>
              <w:pStyle w:val="paragraph"/>
              <w:widowControl/>
              <w:numPr>
                <w:ilvl w:val="0"/>
                <w:numId w:val="6"/>
              </w:numPr>
              <w:autoSpaceDE/>
              <w:autoSpaceDN/>
              <w:spacing w:beforeAutospacing="0" w:after="0" w:afterAutospacing="0"/>
              <w:rPr>
                <w:rFonts w:ascii="Calibri" w:hAnsi="Calibri" w:cs="Calibri"/>
                <w:sz w:val="24"/>
                <w:szCs w:val="24"/>
              </w:rPr>
            </w:pPr>
            <w:r w:rsidRPr="3AF6E536">
              <w:rPr>
                <w:rFonts w:ascii="Calibri" w:hAnsi="Calibri" w:cs="Calibri"/>
                <w:sz w:val="24"/>
                <w:szCs w:val="24"/>
              </w:rPr>
              <w:t>Quality of proposal/work plan</w:t>
            </w:r>
          </w:p>
        </w:tc>
        <w:tc>
          <w:tcPr>
            <w:tcW w:w="1196" w:type="dxa"/>
          </w:tcPr>
          <w:p w14:paraId="32B3BDF8" w14:textId="78338400"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5</w:t>
            </w:r>
          </w:p>
        </w:tc>
        <w:tc>
          <w:tcPr>
            <w:tcW w:w="1174" w:type="dxa"/>
          </w:tcPr>
          <w:p w14:paraId="348B8E83" w14:textId="77777777" w:rsidR="006E1197" w:rsidRDefault="006E1197" w:rsidP="3AF6E536">
            <w:pPr>
              <w:pStyle w:val="paragraph"/>
              <w:spacing w:beforeAutospacing="0" w:after="0" w:afterAutospacing="0"/>
              <w:rPr>
                <w:rFonts w:ascii="Calibri" w:hAnsi="Calibri" w:cs="Calibri"/>
                <w:sz w:val="24"/>
                <w:szCs w:val="24"/>
              </w:rPr>
            </w:pPr>
          </w:p>
        </w:tc>
      </w:tr>
      <w:tr w:rsidR="006E1197" w14:paraId="7CEE7653" w14:textId="77777777" w:rsidTr="5B00F2EB">
        <w:trPr>
          <w:trHeight w:val="300"/>
        </w:trPr>
        <w:tc>
          <w:tcPr>
            <w:tcW w:w="7075" w:type="dxa"/>
          </w:tcPr>
          <w:p w14:paraId="03D0D7EC" w14:textId="77777777" w:rsidR="006E1197" w:rsidRDefault="3AF6E536" w:rsidP="3AF6E536">
            <w:pPr>
              <w:pStyle w:val="paragraph"/>
              <w:widowControl/>
              <w:numPr>
                <w:ilvl w:val="0"/>
                <w:numId w:val="6"/>
              </w:numPr>
              <w:autoSpaceDE/>
              <w:autoSpaceDN/>
              <w:spacing w:beforeAutospacing="0" w:after="0" w:afterAutospacing="0"/>
              <w:rPr>
                <w:rFonts w:ascii="Calibri" w:hAnsi="Calibri" w:cs="Calibri"/>
                <w:sz w:val="24"/>
                <w:szCs w:val="24"/>
              </w:rPr>
            </w:pPr>
            <w:r w:rsidRPr="3AF6E536">
              <w:rPr>
                <w:rFonts w:ascii="Calibri" w:hAnsi="Calibri" w:cs="Calibri"/>
                <w:sz w:val="24"/>
                <w:szCs w:val="24"/>
              </w:rPr>
              <w:t>Demonstrated understanding of scope of project</w:t>
            </w:r>
          </w:p>
        </w:tc>
        <w:tc>
          <w:tcPr>
            <w:tcW w:w="1196" w:type="dxa"/>
          </w:tcPr>
          <w:p w14:paraId="7DF821F1" w14:textId="77777777" w:rsidR="006E1197" w:rsidRDefault="3AF6E536" w:rsidP="3AF6E536">
            <w:pPr>
              <w:pStyle w:val="paragraph"/>
              <w:spacing w:beforeAutospacing="0" w:after="0" w:afterAutospacing="0"/>
              <w:jc w:val="center"/>
              <w:rPr>
                <w:rFonts w:ascii="Calibri" w:hAnsi="Calibri" w:cs="Calibri"/>
                <w:sz w:val="24"/>
                <w:szCs w:val="24"/>
              </w:rPr>
            </w:pPr>
            <w:r w:rsidRPr="3AF6E536">
              <w:rPr>
                <w:rFonts w:ascii="Calibri" w:hAnsi="Calibri" w:cs="Calibri"/>
                <w:sz w:val="24"/>
                <w:szCs w:val="24"/>
              </w:rPr>
              <w:t>5</w:t>
            </w:r>
          </w:p>
        </w:tc>
        <w:tc>
          <w:tcPr>
            <w:tcW w:w="1174" w:type="dxa"/>
          </w:tcPr>
          <w:p w14:paraId="333B1702" w14:textId="77777777" w:rsidR="006E1197" w:rsidRDefault="006E1197" w:rsidP="3AF6E536">
            <w:pPr>
              <w:pStyle w:val="paragraph"/>
              <w:spacing w:beforeAutospacing="0" w:after="0" w:afterAutospacing="0"/>
              <w:rPr>
                <w:rFonts w:ascii="Calibri" w:hAnsi="Calibri" w:cs="Calibri"/>
                <w:sz w:val="24"/>
                <w:szCs w:val="24"/>
              </w:rPr>
            </w:pPr>
          </w:p>
        </w:tc>
      </w:tr>
      <w:tr w:rsidR="006E1197" w14:paraId="458F3BBA" w14:textId="77777777" w:rsidTr="5B00F2EB">
        <w:trPr>
          <w:trHeight w:val="300"/>
        </w:trPr>
        <w:tc>
          <w:tcPr>
            <w:tcW w:w="7075" w:type="dxa"/>
          </w:tcPr>
          <w:p w14:paraId="633E3CBF" w14:textId="77777777" w:rsidR="006E1197" w:rsidRDefault="3AF6E536" w:rsidP="3AF6E536">
            <w:pPr>
              <w:pStyle w:val="paragraph"/>
              <w:spacing w:beforeAutospacing="0" w:after="0" w:afterAutospacing="0"/>
              <w:jc w:val="right"/>
              <w:rPr>
                <w:rFonts w:ascii="Calibri" w:hAnsi="Calibri" w:cs="Calibri"/>
                <w:sz w:val="24"/>
                <w:szCs w:val="24"/>
              </w:rPr>
            </w:pPr>
            <w:r w:rsidRPr="3AF6E536">
              <w:rPr>
                <w:rFonts w:ascii="Calibri" w:hAnsi="Calibri" w:cs="Calibri"/>
                <w:b/>
                <w:bCs/>
                <w:sz w:val="24"/>
                <w:szCs w:val="24"/>
              </w:rPr>
              <w:t>Subtotal, CAPACITY TO PERFORM</w:t>
            </w:r>
          </w:p>
        </w:tc>
        <w:tc>
          <w:tcPr>
            <w:tcW w:w="1196" w:type="dxa"/>
          </w:tcPr>
          <w:p w14:paraId="65AD491F" w14:textId="77777777" w:rsidR="006E1197" w:rsidRDefault="3AF6E536" w:rsidP="3AF6E536">
            <w:pPr>
              <w:pStyle w:val="paragraph"/>
              <w:spacing w:beforeAutospacing="0" w:after="0" w:afterAutospacing="0"/>
              <w:jc w:val="center"/>
              <w:rPr>
                <w:rFonts w:ascii="Calibri" w:hAnsi="Calibri" w:cs="Calibri"/>
                <w:b/>
                <w:bCs/>
                <w:sz w:val="24"/>
                <w:szCs w:val="24"/>
              </w:rPr>
            </w:pPr>
            <w:r w:rsidRPr="3AF6E536">
              <w:rPr>
                <w:rFonts w:ascii="Calibri" w:hAnsi="Calibri" w:cs="Calibri"/>
                <w:b/>
                <w:bCs/>
                <w:sz w:val="24"/>
                <w:szCs w:val="24"/>
              </w:rPr>
              <w:t>20</w:t>
            </w:r>
          </w:p>
        </w:tc>
        <w:tc>
          <w:tcPr>
            <w:tcW w:w="1174" w:type="dxa"/>
          </w:tcPr>
          <w:p w14:paraId="43DB0D04" w14:textId="77777777" w:rsidR="006E1197" w:rsidRDefault="006E1197" w:rsidP="3AF6E536">
            <w:pPr>
              <w:pStyle w:val="paragraph"/>
              <w:spacing w:beforeAutospacing="0" w:after="0" w:afterAutospacing="0"/>
              <w:rPr>
                <w:rFonts w:ascii="Calibri" w:hAnsi="Calibri" w:cs="Calibri"/>
                <w:sz w:val="24"/>
                <w:szCs w:val="24"/>
              </w:rPr>
            </w:pPr>
          </w:p>
        </w:tc>
      </w:tr>
      <w:tr w:rsidR="006E1197" w14:paraId="10D7F656" w14:textId="77777777" w:rsidTr="5B00F2EB">
        <w:trPr>
          <w:trHeight w:val="300"/>
        </w:trPr>
        <w:tc>
          <w:tcPr>
            <w:tcW w:w="7075" w:type="dxa"/>
          </w:tcPr>
          <w:p w14:paraId="21BA2F4F" w14:textId="77777777" w:rsidR="006E1197" w:rsidRDefault="3AF6E536" w:rsidP="3AF6E536">
            <w:pPr>
              <w:pStyle w:val="paragraph"/>
              <w:spacing w:beforeAutospacing="0" w:after="0" w:afterAutospacing="0"/>
              <w:rPr>
                <w:rFonts w:ascii="Calibri" w:hAnsi="Calibri" w:cs="Calibri"/>
                <w:b/>
                <w:bCs/>
                <w:sz w:val="24"/>
                <w:szCs w:val="24"/>
              </w:rPr>
            </w:pPr>
            <w:r w:rsidRPr="3AF6E536">
              <w:rPr>
                <w:rFonts w:ascii="Calibri" w:hAnsi="Calibri" w:cs="Calibri"/>
                <w:sz w:val="24"/>
                <w:szCs w:val="24"/>
              </w:rPr>
              <w:t>TOTAL SCORE</w:t>
            </w:r>
          </w:p>
        </w:tc>
        <w:tc>
          <w:tcPr>
            <w:tcW w:w="1196" w:type="dxa"/>
            <w:shd w:val="clear" w:color="auto" w:fill="D9D9D9" w:themeFill="background1" w:themeFillShade="D9"/>
          </w:tcPr>
          <w:p w14:paraId="7EB5A291" w14:textId="77777777" w:rsidR="006E1197" w:rsidRDefault="006E1197" w:rsidP="3AF6E536">
            <w:pPr>
              <w:pStyle w:val="paragraph"/>
              <w:spacing w:beforeAutospacing="0" w:after="0" w:afterAutospacing="0"/>
              <w:jc w:val="center"/>
              <w:rPr>
                <w:rFonts w:ascii="Calibri" w:hAnsi="Calibri" w:cs="Calibri"/>
                <w:sz w:val="24"/>
                <w:szCs w:val="24"/>
              </w:rPr>
            </w:pPr>
          </w:p>
        </w:tc>
        <w:tc>
          <w:tcPr>
            <w:tcW w:w="1174" w:type="dxa"/>
            <w:shd w:val="clear" w:color="auto" w:fill="D9D9D9" w:themeFill="background1" w:themeFillShade="D9"/>
          </w:tcPr>
          <w:p w14:paraId="192A8FB6" w14:textId="77777777" w:rsidR="006E1197" w:rsidRDefault="006E1197" w:rsidP="3AF6E536">
            <w:pPr>
              <w:pStyle w:val="paragraph"/>
              <w:spacing w:beforeAutospacing="0" w:after="0" w:afterAutospacing="0"/>
              <w:rPr>
                <w:rFonts w:ascii="Calibri" w:hAnsi="Calibri" w:cs="Calibri"/>
                <w:sz w:val="24"/>
                <w:szCs w:val="24"/>
              </w:rPr>
            </w:pPr>
          </w:p>
        </w:tc>
      </w:tr>
      <w:tr w:rsidR="006E1197" w14:paraId="3D7AFCC3" w14:textId="77777777" w:rsidTr="5B00F2EB">
        <w:trPr>
          <w:trHeight w:val="300"/>
        </w:trPr>
        <w:tc>
          <w:tcPr>
            <w:tcW w:w="7075" w:type="dxa"/>
          </w:tcPr>
          <w:p w14:paraId="48120414" w14:textId="77777777" w:rsidR="006E1197" w:rsidRDefault="3AF6E536" w:rsidP="3AF6E536">
            <w:pPr>
              <w:pStyle w:val="paragraph"/>
              <w:spacing w:beforeAutospacing="0" w:after="0" w:afterAutospacing="0"/>
              <w:rPr>
                <w:rFonts w:ascii="Calibri" w:hAnsi="Calibri" w:cs="Calibri"/>
                <w:sz w:val="24"/>
                <w:szCs w:val="24"/>
              </w:rPr>
            </w:pPr>
            <w:r w:rsidRPr="3AF6E536">
              <w:rPr>
                <w:rFonts w:ascii="Calibri" w:hAnsi="Calibri" w:cs="Calibri"/>
                <w:sz w:val="24"/>
                <w:szCs w:val="24"/>
              </w:rPr>
              <w:t>Experience</w:t>
            </w:r>
          </w:p>
        </w:tc>
        <w:tc>
          <w:tcPr>
            <w:tcW w:w="1196" w:type="dxa"/>
          </w:tcPr>
          <w:p w14:paraId="76334E00" w14:textId="1B47BD93"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45</w:t>
            </w:r>
          </w:p>
        </w:tc>
        <w:tc>
          <w:tcPr>
            <w:tcW w:w="1174" w:type="dxa"/>
          </w:tcPr>
          <w:p w14:paraId="294454EE" w14:textId="77777777" w:rsidR="006E1197" w:rsidRDefault="006E1197" w:rsidP="3AF6E536">
            <w:pPr>
              <w:pStyle w:val="paragraph"/>
              <w:spacing w:beforeAutospacing="0" w:after="0" w:afterAutospacing="0"/>
              <w:rPr>
                <w:rFonts w:ascii="Calibri" w:hAnsi="Calibri" w:cs="Calibri"/>
                <w:sz w:val="24"/>
                <w:szCs w:val="24"/>
              </w:rPr>
            </w:pPr>
          </w:p>
        </w:tc>
      </w:tr>
      <w:tr w:rsidR="006E1197" w14:paraId="3D7B81BC" w14:textId="77777777" w:rsidTr="5B00F2EB">
        <w:trPr>
          <w:trHeight w:val="300"/>
        </w:trPr>
        <w:tc>
          <w:tcPr>
            <w:tcW w:w="7075" w:type="dxa"/>
          </w:tcPr>
          <w:p w14:paraId="323F9790" w14:textId="77777777" w:rsidR="006E1197" w:rsidRDefault="3AF6E536" w:rsidP="3AF6E536">
            <w:pPr>
              <w:pStyle w:val="paragraph"/>
              <w:spacing w:beforeAutospacing="0" w:after="0" w:afterAutospacing="0"/>
              <w:rPr>
                <w:rFonts w:ascii="Calibri" w:hAnsi="Calibri" w:cs="Calibri"/>
                <w:sz w:val="24"/>
                <w:szCs w:val="24"/>
              </w:rPr>
            </w:pPr>
            <w:r w:rsidRPr="3AF6E536">
              <w:rPr>
                <w:rFonts w:ascii="Calibri" w:hAnsi="Calibri" w:cs="Calibri"/>
                <w:sz w:val="24"/>
                <w:szCs w:val="24"/>
              </w:rPr>
              <w:t>Work Performance</w:t>
            </w:r>
          </w:p>
        </w:tc>
        <w:tc>
          <w:tcPr>
            <w:tcW w:w="1196" w:type="dxa"/>
          </w:tcPr>
          <w:p w14:paraId="4CA6372B" w14:textId="4B1EB501" w:rsidR="006E1197" w:rsidRDefault="5B00F2EB" w:rsidP="3AF6E536">
            <w:pPr>
              <w:pStyle w:val="paragraph"/>
              <w:spacing w:beforeAutospacing="0" w:after="0" w:afterAutospacing="0"/>
              <w:jc w:val="center"/>
              <w:rPr>
                <w:rFonts w:ascii="Calibri" w:hAnsi="Calibri" w:cs="Calibri"/>
                <w:sz w:val="24"/>
                <w:szCs w:val="24"/>
              </w:rPr>
            </w:pPr>
            <w:r w:rsidRPr="5B00F2EB">
              <w:rPr>
                <w:rFonts w:ascii="Calibri" w:hAnsi="Calibri" w:cs="Calibri"/>
                <w:sz w:val="24"/>
                <w:szCs w:val="24"/>
              </w:rPr>
              <w:t>35</w:t>
            </w:r>
          </w:p>
        </w:tc>
        <w:tc>
          <w:tcPr>
            <w:tcW w:w="1174" w:type="dxa"/>
          </w:tcPr>
          <w:p w14:paraId="1F9F4DE1" w14:textId="77777777" w:rsidR="006E1197" w:rsidRDefault="006E1197" w:rsidP="3AF6E536">
            <w:pPr>
              <w:pStyle w:val="paragraph"/>
              <w:spacing w:beforeAutospacing="0" w:after="0" w:afterAutospacing="0"/>
              <w:rPr>
                <w:rFonts w:ascii="Calibri" w:hAnsi="Calibri" w:cs="Calibri"/>
                <w:sz w:val="24"/>
                <w:szCs w:val="24"/>
              </w:rPr>
            </w:pPr>
          </w:p>
        </w:tc>
      </w:tr>
      <w:tr w:rsidR="006E1197" w14:paraId="754EB7FB" w14:textId="77777777" w:rsidTr="5B00F2EB">
        <w:trPr>
          <w:trHeight w:val="300"/>
        </w:trPr>
        <w:tc>
          <w:tcPr>
            <w:tcW w:w="7075" w:type="dxa"/>
          </w:tcPr>
          <w:p w14:paraId="462CF0B3" w14:textId="77777777" w:rsidR="006E1197" w:rsidRDefault="3AF6E536" w:rsidP="3AF6E536">
            <w:pPr>
              <w:pStyle w:val="paragraph"/>
              <w:spacing w:beforeAutospacing="0" w:after="0" w:afterAutospacing="0"/>
              <w:rPr>
                <w:rFonts w:ascii="Calibri" w:hAnsi="Calibri" w:cs="Calibri"/>
                <w:sz w:val="24"/>
                <w:szCs w:val="24"/>
              </w:rPr>
            </w:pPr>
            <w:r w:rsidRPr="3AF6E536">
              <w:rPr>
                <w:rFonts w:ascii="Calibri" w:hAnsi="Calibri" w:cs="Calibri"/>
                <w:sz w:val="24"/>
                <w:szCs w:val="24"/>
              </w:rPr>
              <w:t>Capacity to Perform</w:t>
            </w:r>
          </w:p>
        </w:tc>
        <w:tc>
          <w:tcPr>
            <w:tcW w:w="1196" w:type="dxa"/>
          </w:tcPr>
          <w:p w14:paraId="451ACFFB" w14:textId="77777777" w:rsidR="006E1197" w:rsidRDefault="3AF6E536" w:rsidP="3AF6E536">
            <w:pPr>
              <w:pStyle w:val="paragraph"/>
              <w:spacing w:beforeAutospacing="0" w:after="0" w:afterAutospacing="0"/>
              <w:jc w:val="center"/>
              <w:rPr>
                <w:rFonts w:ascii="Calibri" w:hAnsi="Calibri" w:cs="Calibri"/>
                <w:sz w:val="24"/>
                <w:szCs w:val="24"/>
              </w:rPr>
            </w:pPr>
            <w:r w:rsidRPr="3AF6E536">
              <w:rPr>
                <w:rFonts w:ascii="Calibri" w:hAnsi="Calibri" w:cs="Calibri"/>
                <w:sz w:val="24"/>
                <w:szCs w:val="24"/>
              </w:rPr>
              <w:t>20</w:t>
            </w:r>
          </w:p>
        </w:tc>
        <w:tc>
          <w:tcPr>
            <w:tcW w:w="1174" w:type="dxa"/>
          </w:tcPr>
          <w:p w14:paraId="30A99891" w14:textId="77777777" w:rsidR="006E1197" w:rsidRDefault="006E1197" w:rsidP="3AF6E536">
            <w:pPr>
              <w:pStyle w:val="paragraph"/>
              <w:spacing w:beforeAutospacing="0" w:after="0" w:afterAutospacing="0"/>
              <w:rPr>
                <w:rFonts w:ascii="Calibri" w:hAnsi="Calibri" w:cs="Calibri"/>
                <w:sz w:val="24"/>
                <w:szCs w:val="24"/>
              </w:rPr>
            </w:pPr>
          </w:p>
        </w:tc>
      </w:tr>
      <w:tr w:rsidR="006E1197" w14:paraId="339ECED6" w14:textId="77777777" w:rsidTr="5B00F2EB">
        <w:trPr>
          <w:trHeight w:val="300"/>
        </w:trPr>
        <w:tc>
          <w:tcPr>
            <w:tcW w:w="7075" w:type="dxa"/>
          </w:tcPr>
          <w:p w14:paraId="5DC49ED7" w14:textId="77777777" w:rsidR="006E1197" w:rsidRDefault="3AF6E536" w:rsidP="3AF6E536">
            <w:pPr>
              <w:pStyle w:val="paragraph"/>
              <w:spacing w:beforeAutospacing="0" w:after="0" w:afterAutospacing="0"/>
              <w:jc w:val="right"/>
              <w:rPr>
                <w:rFonts w:ascii="Calibri" w:hAnsi="Calibri" w:cs="Calibri"/>
                <w:sz w:val="24"/>
                <w:szCs w:val="24"/>
              </w:rPr>
            </w:pPr>
            <w:r w:rsidRPr="3AF6E536">
              <w:rPr>
                <w:rFonts w:ascii="Calibri" w:hAnsi="Calibri" w:cs="Calibri"/>
                <w:b/>
                <w:bCs/>
                <w:sz w:val="24"/>
                <w:szCs w:val="24"/>
              </w:rPr>
              <w:t>TOTAL SCORE</w:t>
            </w:r>
          </w:p>
        </w:tc>
        <w:tc>
          <w:tcPr>
            <w:tcW w:w="1196" w:type="dxa"/>
          </w:tcPr>
          <w:p w14:paraId="5B0E96D0" w14:textId="77777777" w:rsidR="006E1197" w:rsidRPr="00ED0C36" w:rsidRDefault="3AF6E536" w:rsidP="3AF6E536">
            <w:pPr>
              <w:pStyle w:val="paragraph"/>
              <w:spacing w:beforeAutospacing="0" w:after="0" w:afterAutospacing="0"/>
              <w:jc w:val="center"/>
              <w:rPr>
                <w:rFonts w:ascii="Calibri" w:hAnsi="Calibri" w:cs="Calibri"/>
                <w:b/>
                <w:bCs/>
                <w:sz w:val="24"/>
                <w:szCs w:val="24"/>
              </w:rPr>
            </w:pPr>
            <w:r w:rsidRPr="3AF6E536">
              <w:rPr>
                <w:rFonts w:ascii="Calibri" w:hAnsi="Calibri" w:cs="Calibri"/>
                <w:b/>
                <w:bCs/>
                <w:sz w:val="24"/>
                <w:szCs w:val="24"/>
              </w:rPr>
              <w:t>100</w:t>
            </w:r>
          </w:p>
        </w:tc>
        <w:tc>
          <w:tcPr>
            <w:tcW w:w="1174" w:type="dxa"/>
          </w:tcPr>
          <w:p w14:paraId="59BC9B4D" w14:textId="77777777" w:rsidR="006E1197" w:rsidRPr="00ED0C36" w:rsidRDefault="006E1197" w:rsidP="3AF6E536">
            <w:pPr>
              <w:pStyle w:val="paragraph"/>
              <w:spacing w:beforeAutospacing="0" w:after="0" w:afterAutospacing="0"/>
              <w:rPr>
                <w:rFonts w:ascii="Calibri" w:hAnsi="Calibri" w:cs="Calibri"/>
                <w:b/>
                <w:bCs/>
                <w:sz w:val="24"/>
                <w:szCs w:val="24"/>
              </w:rPr>
            </w:pPr>
          </w:p>
        </w:tc>
      </w:tr>
    </w:tbl>
    <w:p w14:paraId="4E23B15F" w14:textId="68BF1525" w:rsidR="0D119C9B" w:rsidRDefault="0D119C9B">
      <w:r>
        <w:br w:type="page"/>
      </w:r>
    </w:p>
    <w:p w14:paraId="6ADEBE43" w14:textId="78D91BD4" w:rsidR="0D119C9B" w:rsidRDefault="0D119C9B" w:rsidP="0D119C9B">
      <w:pPr>
        <w:pStyle w:val="BodyText"/>
        <w:jc w:val="center"/>
      </w:pPr>
      <w:r>
        <w:lastRenderedPageBreak/>
        <w:t>Request for Qualifications</w:t>
      </w:r>
    </w:p>
    <w:p w14:paraId="7215C315" w14:textId="7FE750FB" w:rsidR="0D119C9B" w:rsidRDefault="0D119C9B" w:rsidP="0D119C9B">
      <w:pPr>
        <w:pStyle w:val="BodyText"/>
        <w:jc w:val="center"/>
      </w:pPr>
      <w:r>
        <w:t xml:space="preserve">Professional Engineering </w:t>
      </w:r>
      <w:r w:rsidR="00924FEC">
        <w:t>Services</w:t>
      </w:r>
    </w:p>
    <w:p w14:paraId="4D7CFA52" w14:textId="3AC168B6" w:rsidR="0D119C9B" w:rsidRDefault="0D119C9B" w:rsidP="0D119C9B">
      <w:pPr>
        <w:pStyle w:val="BodyText"/>
      </w:pPr>
    </w:p>
    <w:p w14:paraId="39D05A94" w14:textId="40B54FCB" w:rsidR="0D119C9B" w:rsidRDefault="5B00F2EB" w:rsidP="5B00F2EB">
      <w:pPr>
        <w:pStyle w:val="BodyText"/>
        <w:jc w:val="center"/>
        <w:rPr>
          <w:b/>
          <w:bCs/>
        </w:rPr>
      </w:pPr>
      <w:r w:rsidRPr="5B00F2EB">
        <w:rPr>
          <w:b/>
          <w:bCs/>
        </w:rPr>
        <w:t>Submittal Checklist</w:t>
      </w:r>
    </w:p>
    <w:p w14:paraId="31B3340A" w14:textId="09818CB5" w:rsidR="0D119C9B" w:rsidRDefault="0D119C9B" w:rsidP="0D119C9B">
      <w:pPr>
        <w:pStyle w:val="BodyText"/>
      </w:pPr>
    </w:p>
    <w:p w14:paraId="5DDEB99A" w14:textId="3652AF83" w:rsidR="0D119C9B" w:rsidRDefault="09BA471D" w:rsidP="0D119C9B">
      <w:pPr>
        <w:pStyle w:val="BodyText"/>
        <w:numPr>
          <w:ilvl w:val="0"/>
          <w:numId w:val="3"/>
        </w:numPr>
      </w:pPr>
      <w:r>
        <w:t>_______ Statement of Qualifications not to exceed 15 pages not including appendices</w:t>
      </w:r>
    </w:p>
    <w:p w14:paraId="03F90BBB" w14:textId="5A02DC53" w:rsidR="0D119C9B" w:rsidRDefault="0D119C9B" w:rsidP="0D119C9B">
      <w:pPr>
        <w:pStyle w:val="BodyText"/>
        <w:numPr>
          <w:ilvl w:val="0"/>
          <w:numId w:val="3"/>
        </w:numPr>
      </w:pPr>
      <w:r>
        <w:t xml:space="preserve">_______ Certificate of </w:t>
      </w:r>
      <w:r w:rsidR="00924FEC">
        <w:t xml:space="preserve">Liability </w:t>
      </w:r>
      <w:r>
        <w:t>Insurance</w:t>
      </w:r>
    </w:p>
    <w:p w14:paraId="1D8E5095" w14:textId="7BD7CA27" w:rsidR="0D119C9B" w:rsidRDefault="0D119C9B" w:rsidP="0D119C9B">
      <w:pPr>
        <w:pStyle w:val="BodyText"/>
        <w:numPr>
          <w:ilvl w:val="0"/>
          <w:numId w:val="3"/>
        </w:numPr>
      </w:pPr>
      <w:r>
        <w:t>_______ SAM.gov Registration (if applicable)</w:t>
      </w:r>
    </w:p>
    <w:p w14:paraId="3133D8CC" w14:textId="58E60EF8" w:rsidR="0D119C9B" w:rsidRDefault="09BA471D" w:rsidP="0D119C9B">
      <w:pPr>
        <w:pStyle w:val="BodyText"/>
        <w:numPr>
          <w:ilvl w:val="0"/>
          <w:numId w:val="3"/>
        </w:numPr>
      </w:pPr>
      <w:r>
        <w:t>_______ Acknowledgement of Addenda (if applicable)</w:t>
      </w:r>
    </w:p>
    <w:p w14:paraId="41D3FA90" w14:textId="253B90E6" w:rsidR="0D119C9B" w:rsidRDefault="0D119C9B" w:rsidP="0D119C9B"/>
    <w:sectPr w:rsidR="0D119C9B" w:rsidSect="000225A2">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4CC2" w14:textId="77777777" w:rsidR="007962D1" w:rsidRDefault="007962D1">
      <w:r>
        <w:separator/>
      </w:r>
    </w:p>
  </w:endnote>
  <w:endnote w:type="continuationSeparator" w:id="0">
    <w:p w14:paraId="0A652446" w14:textId="77777777" w:rsidR="007962D1" w:rsidRDefault="0079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119C9B" w14:paraId="1FD0EE73" w14:textId="77777777" w:rsidTr="0D119C9B">
      <w:trPr>
        <w:trHeight w:val="300"/>
      </w:trPr>
      <w:tc>
        <w:tcPr>
          <w:tcW w:w="3120" w:type="dxa"/>
        </w:tcPr>
        <w:p w14:paraId="6F315485" w14:textId="5AE08A54" w:rsidR="0D119C9B" w:rsidRDefault="0D119C9B" w:rsidP="0D119C9B">
          <w:pPr>
            <w:pStyle w:val="Header"/>
            <w:ind w:left="-115"/>
          </w:pPr>
        </w:p>
      </w:tc>
      <w:tc>
        <w:tcPr>
          <w:tcW w:w="3120" w:type="dxa"/>
        </w:tcPr>
        <w:p w14:paraId="386DDE3E" w14:textId="4462B601" w:rsidR="0D119C9B" w:rsidRDefault="0D119C9B" w:rsidP="0D119C9B">
          <w:pPr>
            <w:pStyle w:val="Header"/>
            <w:jc w:val="center"/>
          </w:pPr>
        </w:p>
      </w:tc>
      <w:tc>
        <w:tcPr>
          <w:tcW w:w="3120" w:type="dxa"/>
        </w:tcPr>
        <w:p w14:paraId="13966953" w14:textId="56503676" w:rsidR="0D119C9B" w:rsidRDefault="0D119C9B" w:rsidP="0D119C9B">
          <w:pPr>
            <w:pStyle w:val="Header"/>
            <w:ind w:right="-115"/>
            <w:jc w:val="right"/>
          </w:pPr>
        </w:p>
      </w:tc>
    </w:tr>
  </w:tbl>
  <w:p w14:paraId="1DC30424" w14:textId="494EE61A" w:rsidR="0D119C9B" w:rsidRDefault="0D119C9B" w:rsidP="0D119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EC7C" w14:textId="77777777" w:rsidR="007962D1" w:rsidRDefault="007962D1">
      <w:r>
        <w:separator/>
      </w:r>
    </w:p>
  </w:footnote>
  <w:footnote w:type="continuationSeparator" w:id="0">
    <w:p w14:paraId="59D8D3A0" w14:textId="77777777" w:rsidR="007962D1" w:rsidRDefault="0079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119C9B" w14:paraId="7BE0AF47" w14:textId="77777777" w:rsidTr="0D119C9B">
      <w:trPr>
        <w:trHeight w:val="300"/>
      </w:trPr>
      <w:tc>
        <w:tcPr>
          <w:tcW w:w="3120" w:type="dxa"/>
        </w:tcPr>
        <w:p w14:paraId="4B6A3CC7" w14:textId="14CD3249" w:rsidR="0D119C9B" w:rsidRDefault="0D119C9B" w:rsidP="0D119C9B">
          <w:pPr>
            <w:pStyle w:val="Header"/>
            <w:ind w:left="-115"/>
          </w:pPr>
        </w:p>
      </w:tc>
      <w:tc>
        <w:tcPr>
          <w:tcW w:w="3120" w:type="dxa"/>
        </w:tcPr>
        <w:p w14:paraId="77F11F8F" w14:textId="401DE727" w:rsidR="0D119C9B" w:rsidRDefault="0D119C9B" w:rsidP="0D119C9B">
          <w:pPr>
            <w:pStyle w:val="Header"/>
            <w:jc w:val="center"/>
          </w:pPr>
        </w:p>
      </w:tc>
      <w:tc>
        <w:tcPr>
          <w:tcW w:w="3120" w:type="dxa"/>
        </w:tcPr>
        <w:p w14:paraId="38B20F25" w14:textId="2DAE9E00" w:rsidR="0D119C9B" w:rsidRDefault="0D119C9B" w:rsidP="0D119C9B">
          <w:pPr>
            <w:pStyle w:val="Header"/>
            <w:ind w:right="-115"/>
            <w:jc w:val="right"/>
          </w:pPr>
        </w:p>
      </w:tc>
    </w:tr>
  </w:tbl>
  <w:p w14:paraId="46995118" w14:textId="149E7466" w:rsidR="0D119C9B" w:rsidRDefault="0D119C9B" w:rsidP="0D119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AA93"/>
    <w:multiLevelType w:val="hybridMultilevel"/>
    <w:tmpl w:val="EB781D20"/>
    <w:lvl w:ilvl="0" w:tplc="AA80A3D6">
      <w:start w:val="1"/>
      <w:numFmt w:val="decimal"/>
      <w:lvlText w:val="%1."/>
      <w:lvlJc w:val="left"/>
      <w:pPr>
        <w:ind w:left="720" w:hanging="360"/>
      </w:pPr>
    </w:lvl>
    <w:lvl w:ilvl="1" w:tplc="D8CCB3FE">
      <w:start w:val="1"/>
      <w:numFmt w:val="lowerLetter"/>
      <w:lvlText w:val="%2."/>
      <w:lvlJc w:val="left"/>
      <w:pPr>
        <w:ind w:left="1440" w:hanging="360"/>
      </w:pPr>
    </w:lvl>
    <w:lvl w:ilvl="2" w:tplc="CBD0652A">
      <w:start w:val="1"/>
      <w:numFmt w:val="lowerRoman"/>
      <w:lvlText w:val="%3."/>
      <w:lvlJc w:val="right"/>
      <w:pPr>
        <w:ind w:left="2160" w:hanging="180"/>
      </w:pPr>
    </w:lvl>
    <w:lvl w:ilvl="3" w:tplc="83F4C740">
      <w:start w:val="1"/>
      <w:numFmt w:val="decimal"/>
      <w:lvlText w:val="%4."/>
      <w:lvlJc w:val="left"/>
      <w:pPr>
        <w:ind w:left="2880" w:hanging="360"/>
      </w:pPr>
    </w:lvl>
    <w:lvl w:ilvl="4" w:tplc="73F8692C">
      <w:start w:val="1"/>
      <w:numFmt w:val="lowerLetter"/>
      <w:lvlText w:val="%5."/>
      <w:lvlJc w:val="left"/>
      <w:pPr>
        <w:ind w:left="3600" w:hanging="360"/>
      </w:pPr>
    </w:lvl>
    <w:lvl w:ilvl="5" w:tplc="5D12F0CA">
      <w:start w:val="1"/>
      <w:numFmt w:val="lowerRoman"/>
      <w:lvlText w:val="%6."/>
      <w:lvlJc w:val="right"/>
      <w:pPr>
        <w:ind w:left="4320" w:hanging="180"/>
      </w:pPr>
    </w:lvl>
    <w:lvl w:ilvl="6" w:tplc="FF146924">
      <w:start w:val="1"/>
      <w:numFmt w:val="decimal"/>
      <w:lvlText w:val="%7."/>
      <w:lvlJc w:val="left"/>
      <w:pPr>
        <w:ind w:left="5040" w:hanging="360"/>
      </w:pPr>
    </w:lvl>
    <w:lvl w:ilvl="7" w:tplc="F66041C0">
      <w:start w:val="1"/>
      <w:numFmt w:val="lowerLetter"/>
      <w:lvlText w:val="%8."/>
      <w:lvlJc w:val="left"/>
      <w:pPr>
        <w:ind w:left="5760" w:hanging="360"/>
      </w:pPr>
    </w:lvl>
    <w:lvl w:ilvl="8" w:tplc="F500906A">
      <w:start w:val="1"/>
      <w:numFmt w:val="lowerRoman"/>
      <w:lvlText w:val="%9."/>
      <w:lvlJc w:val="right"/>
      <w:pPr>
        <w:ind w:left="6480" w:hanging="180"/>
      </w:pPr>
    </w:lvl>
  </w:abstractNum>
  <w:abstractNum w:abstractNumId="1" w15:restartNumberingAfterBreak="0">
    <w:nsid w:val="1D85298A"/>
    <w:multiLevelType w:val="hybridMultilevel"/>
    <w:tmpl w:val="A8D6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EDED8"/>
    <w:multiLevelType w:val="hybridMultilevel"/>
    <w:tmpl w:val="3B2C5604"/>
    <w:lvl w:ilvl="0" w:tplc="5DCE403E">
      <w:start w:val="1"/>
      <w:numFmt w:val="decimal"/>
      <w:lvlText w:val="%1."/>
      <w:lvlJc w:val="left"/>
      <w:pPr>
        <w:ind w:left="720" w:hanging="360"/>
      </w:pPr>
    </w:lvl>
    <w:lvl w:ilvl="1" w:tplc="1ECCBB46">
      <w:start w:val="1"/>
      <w:numFmt w:val="lowerLetter"/>
      <w:lvlText w:val="%2."/>
      <w:lvlJc w:val="left"/>
      <w:pPr>
        <w:ind w:left="1440" w:hanging="360"/>
      </w:pPr>
    </w:lvl>
    <w:lvl w:ilvl="2" w:tplc="FC64262A">
      <w:start w:val="1"/>
      <w:numFmt w:val="lowerRoman"/>
      <w:lvlText w:val="%3."/>
      <w:lvlJc w:val="right"/>
      <w:pPr>
        <w:ind w:left="2160" w:hanging="180"/>
      </w:pPr>
    </w:lvl>
    <w:lvl w:ilvl="3" w:tplc="7FC65BF0">
      <w:start w:val="1"/>
      <w:numFmt w:val="decimal"/>
      <w:lvlText w:val="%4."/>
      <w:lvlJc w:val="left"/>
      <w:pPr>
        <w:ind w:left="2880" w:hanging="360"/>
      </w:pPr>
    </w:lvl>
    <w:lvl w:ilvl="4" w:tplc="95A67162">
      <w:start w:val="1"/>
      <w:numFmt w:val="lowerLetter"/>
      <w:lvlText w:val="%5."/>
      <w:lvlJc w:val="left"/>
      <w:pPr>
        <w:ind w:left="3600" w:hanging="360"/>
      </w:pPr>
    </w:lvl>
    <w:lvl w:ilvl="5" w:tplc="229647EC">
      <w:start w:val="1"/>
      <w:numFmt w:val="lowerRoman"/>
      <w:lvlText w:val="%6."/>
      <w:lvlJc w:val="right"/>
      <w:pPr>
        <w:ind w:left="4320" w:hanging="180"/>
      </w:pPr>
    </w:lvl>
    <w:lvl w:ilvl="6" w:tplc="8D78C10A">
      <w:start w:val="1"/>
      <w:numFmt w:val="decimal"/>
      <w:lvlText w:val="%7."/>
      <w:lvlJc w:val="left"/>
      <w:pPr>
        <w:ind w:left="5040" w:hanging="360"/>
      </w:pPr>
    </w:lvl>
    <w:lvl w:ilvl="7" w:tplc="1BF4C6E0">
      <w:start w:val="1"/>
      <w:numFmt w:val="lowerLetter"/>
      <w:lvlText w:val="%8."/>
      <w:lvlJc w:val="left"/>
      <w:pPr>
        <w:ind w:left="5760" w:hanging="360"/>
      </w:pPr>
    </w:lvl>
    <w:lvl w:ilvl="8" w:tplc="009EF7AA">
      <w:start w:val="1"/>
      <w:numFmt w:val="lowerRoman"/>
      <w:lvlText w:val="%9."/>
      <w:lvlJc w:val="right"/>
      <w:pPr>
        <w:ind w:left="6480" w:hanging="180"/>
      </w:pPr>
    </w:lvl>
  </w:abstractNum>
  <w:abstractNum w:abstractNumId="3" w15:restartNumberingAfterBreak="0">
    <w:nsid w:val="359919FA"/>
    <w:multiLevelType w:val="hybridMultilevel"/>
    <w:tmpl w:val="5C5A6296"/>
    <w:lvl w:ilvl="0" w:tplc="77F0ABE8">
      <w:start w:val="1"/>
      <w:numFmt w:val="decimal"/>
      <w:lvlText w:val="%1."/>
      <w:lvlJc w:val="left"/>
      <w:pPr>
        <w:ind w:left="720" w:hanging="360"/>
      </w:pPr>
    </w:lvl>
    <w:lvl w:ilvl="1" w:tplc="55FAEE98">
      <w:start w:val="1"/>
      <w:numFmt w:val="lowerLetter"/>
      <w:lvlText w:val="%2."/>
      <w:lvlJc w:val="left"/>
      <w:pPr>
        <w:ind w:left="1440" w:hanging="360"/>
      </w:pPr>
    </w:lvl>
    <w:lvl w:ilvl="2" w:tplc="F9107B68">
      <w:start w:val="1"/>
      <w:numFmt w:val="lowerRoman"/>
      <w:lvlText w:val="%3."/>
      <w:lvlJc w:val="right"/>
      <w:pPr>
        <w:ind w:left="2160" w:hanging="180"/>
      </w:pPr>
    </w:lvl>
    <w:lvl w:ilvl="3" w:tplc="B6987980">
      <w:start w:val="1"/>
      <w:numFmt w:val="decimal"/>
      <w:lvlText w:val="%4."/>
      <w:lvlJc w:val="left"/>
      <w:pPr>
        <w:ind w:left="2880" w:hanging="360"/>
      </w:pPr>
    </w:lvl>
    <w:lvl w:ilvl="4" w:tplc="B694BD24">
      <w:start w:val="1"/>
      <w:numFmt w:val="lowerLetter"/>
      <w:lvlText w:val="%5."/>
      <w:lvlJc w:val="left"/>
      <w:pPr>
        <w:ind w:left="3600" w:hanging="360"/>
      </w:pPr>
    </w:lvl>
    <w:lvl w:ilvl="5" w:tplc="B41E59B0">
      <w:start w:val="1"/>
      <w:numFmt w:val="lowerRoman"/>
      <w:lvlText w:val="%6."/>
      <w:lvlJc w:val="right"/>
      <w:pPr>
        <w:ind w:left="4320" w:hanging="180"/>
      </w:pPr>
    </w:lvl>
    <w:lvl w:ilvl="6" w:tplc="3F2C05C8">
      <w:start w:val="1"/>
      <w:numFmt w:val="decimal"/>
      <w:lvlText w:val="%7."/>
      <w:lvlJc w:val="left"/>
      <w:pPr>
        <w:ind w:left="5040" w:hanging="360"/>
      </w:pPr>
    </w:lvl>
    <w:lvl w:ilvl="7" w:tplc="102EF2B8">
      <w:start w:val="1"/>
      <w:numFmt w:val="lowerLetter"/>
      <w:lvlText w:val="%8."/>
      <w:lvlJc w:val="left"/>
      <w:pPr>
        <w:ind w:left="5760" w:hanging="360"/>
      </w:pPr>
    </w:lvl>
    <w:lvl w:ilvl="8" w:tplc="4426DD6A">
      <w:start w:val="1"/>
      <w:numFmt w:val="lowerRoman"/>
      <w:lvlText w:val="%9."/>
      <w:lvlJc w:val="right"/>
      <w:pPr>
        <w:ind w:left="6480" w:hanging="180"/>
      </w:pPr>
    </w:lvl>
  </w:abstractNum>
  <w:abstractNum w:abstractNumId="4" w15:restartNumberingAfterBreak="0">
    <w:nsid w:val="3B0C72B9"/>
    <w:multiLevelType w:val="hybridMultilevel"/>
    <w:tmpl w:val="F91072B6"/>
    <w:lvl w:ilvl="0" w:tplc="2354CEB8">
      <w:start w:val="1"/>
      <w:numFmt w:val="decimal"/>
      <w:lvlText w:val="%1."/>
      <w:lvlJc w:val="left"/>
      <w:pPr>
        <w:ind w:left="720" w:hanging="360"/>
      </w:pPr>
    </w:lvl>
    <w:lvl w:ilvl="1" w:tplc="0D4220D0">
      <w:start w:val="1"/>
      <w:numFmt w:val="lowerLetter"/>
      <w:lvlText w:val="%2."/>
      <w:lvlJc w:val="left"/>
      <w:pPr>
        <w:ind w:left="1440" w:hanging="360"/>
      </w:pPr>
    </w:lvl>
    <w:lvl w:ilvl="2" w:tplc="3FD2EC62">
      <w:start w:val="1"/>
      <w:numFmt w:val="lowerRoman"/>
      <w:lvlText w:val="%3."/>
      <w:lvlJc w:val="right"/>
      <w:pPr>
        <w:ind w:left="2160" w:hanging="180"/>
      </w:pPr>
    </w:lvl>
    <w:lvl w:ilvl="3" w:tplc="053871B6">
      <w:start w:val="1"/>
      <w:numFmt w:val="decimal"/>
      <w:lvlText w:val="%4."/>
      <w:lvlJc w:val="left"/>
      <w:pPr>
        <w:ind w:left="2880" w:hanging="360"/>
      </w:pPr>
    </w:lvl>
    <w:lvl w:ilvl="4" w:tplc="E8A22268">
      <w:start w:val="1"/>
      <w:numFmt w:val="lowerLetter"/>
      <w:lvlText w:val="%5."/>
      <w:lvlJc w:val="left"/>
      <w:pPr>
        <w:ind w:left="3600" w:hanging="360"/>
      </w:pPr>
    </w:lvl>
    <w:lvl w:ilvl="5" w:tplc="5756DC2E">
      <w:start w:val="1"/>
      <w:numFmt w:val="lowerRoman"/>
      <w:lvlText w:val="%6."/>
      <w:lvlJc w:val="right"/>
      <w:pPr>
        <w:ind w:left="4320" w:hanging="180"/>
      </w:pPr>
    </w:lvl>
    <w:lvl w:ilvl="6" w:tplc="86A4C552">
      <w:start w:val="1"/>
      <w:numFmt w:val="decimal"/>
      <w:lvlText w:val="%7."/>
      <w:lvlJc w:val="left"/>
      <w:pPr>
        <w:ind w:left="5040" w:hanging="360"/>
      </w:pPr>
    </w:lvl>
    <w:lvl w:ilvl="7" w:tplc="7AD83632">
      <w:start w:val="1"/>
      <w:numFmt w:val="lowerLetter"/>
      <w:lvlText w:val="%8."/>
      <w:lvlJc w:val="left"/>
      <w:pPr>
        <w:ind w:left="5760" w:hanging="360"/>
      </w:pPr>
    </w:lvl>
    <w:lvl w:ilvl="8" w:tplc="654CB18A">
      <w:start w:val="1"/>
      <w:numFmt w:val="lowerRoman"/>
      <w:lvlText w:val="%9."/>
      <w:lvlJc w:val="right"/>
      <w:pPr>
        <w:ind w:left="6480" w:hanging="180"/>
      </w:pPr>
    </w:lvl>
  </w:abstractNum>
  <w:abstractNum w:abstractNumId="5" w15:restartNumberingAfterBreak="0">
    <w:nsid w:val="45383452"/>
    <w:multiLevelType w:val="hybridMultilevel"/>
    <w:tmpl w:val="D084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A6390"/>
    <w:multiLevelType w:val="hybridMultilevel"/>
    <w:tmpl w:val="C81A19EE"/>
    <w:lvl w:ilvl="0" w:tplc="2D2C763A">
      <w:start w:val="1"/>
      <w:numFmt w:val="decimal"/>
      <w:lvlText w:val="%1."/>
      <w:lvlJc w:val="left"/>
      <w:pPr>
        <w:ind w:left="720" w:hanging="360"/>
      </w:pPr>
    </w:lvl>
    <w:lvl w:ilvl="1" w:tplc="044C3C86">
      <w:start w:val="1"/>
      <w:numFmt w:val="lowerLetter"/>
      <w:lvlText w:val="%2."/>
      <w:lvlJc w:val="left"/>
      <w:pPr>
        <w:ind w:left="1440" w:hanging="360"/>
      </w:pPr>
    </w:lvl>
    <w:lvl w:ilvl="2" w:tplc="5B42486A">
      <w:start w:val="1"/>
      <w:numFmt w:val="lowerRoman"/>
      <w:lvlText w:val="%3."/>
      <w:lvlJc w:val="right"/>
      <w:pPr>
        <w:ind w:left="2160" w:hanging="180"/>
      </w:pPr>
    </w:lvl>
    <w:lvl w:ilvl="3" w:tplc="7BF86A20">
      <w:start w:val="1"/>
      <w:numFmt w:val="decimal"/>
      <w:lvlText w:val="%4."/>
      <w:lvlJc w:val="left"/>
      <w:pPr>
        <w:ind w:left="2880" w:hanging="360"/>
      </w:pPr>
    </w:lvl>
    <w:lvl w:ilvl="4" w:tplc="A69EABBC">
      <w:start w:val="1"/>
      <w:numFmt w:val="lowerLetter"/>
      <w:lvlText w:val="%5."/>
      <w:lvlJc w:val="left"/>
      <w:pPr>
        <w:ind w:left="3600" w:hanging="360"/>
      </w:pPr>
    </w:lvl>
    <w:lvl w:ilvl="5" w:tplc="E6807BFA">
      <w:start w:val="1"/>
      <w:numFmt w:val="lowerRoman"/>
      <w:lvlText w:val="%6."/>
      <w:lvlJc w:val="right"/>
      <w:pPr>
        <w:ind w:left="4320" w:hanging="180"/>
      </w:pPr>
    </w:lvl>
    <w:lvl w:ilvl="6" w:tplc="A246EDB2">
      <w:start w:val="1"/>
      <w:numFmt w:val="decimal"/>
      <w:lvlText w:val="%7."/>
      <w:lvlJc w:val="left"/>
      <w:pPr>
        <w:ind w:left="5040" w:hanging="360"/>
      </w:pPr>
    </w:lvl>
    <w:lvl w:ilvl="7" w:tplc="510CD2A6">
      <w:start w:val="1"/>
      <w:numFmt w:val="lowerLetter"/>
      <w:lvlText w:val="%8."/>
      <w:lvlJc w:val="left"/>
      <w:pPr>
        <w:ind w:left="5760" w:hanging="360"/>
      </w:pPr>
    </w:lvl>
    <w:lvl w:ilvl="8" w:tplc="CD1A0256">
      <w:start w:val="1"/>
      <w:numFmt w:val="lowerRoman"/>
      <w:lvlText w:val="%9."/>
      <w:lvlJc w:val="right"/>
      <w:pPr>
        <w:ind w:left="6480" w:hanging="180"/>
      </w:pPr>
    </w:lvl>
  </w:abstractNum>
  <w:abstractNum w:abstractNumId="7" w15:restartNumberingAfterBreak="0">
    <w:nsid w:val="72341453"/>
    <w:multiLevelType w:val="hybridMultilevel"/>
    <w:tmpl w:val="B3568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509408">
    <w:abstractNumId w:val="4"/>
  </w:num>
  <w:num w:numId="2" w16cid:durableId="1291520818">
    <w:abstractNumId w:val="3"/>
  </w:num>
  <w:num w:numId="3" w16cid:durableId="2005622054">
    <w:abstractNumId w:val="6"/>
  </w:num>
  <w:num w:numId="4" w16cid:durableId="324557139">
    <w:abstractNumId w:val="1"/>
  </w:num>
  <w:num w:numId="5" w16cid:durableId="117377293">
    <w:abstractNumId w:val="2"/>
  </w:num>
  <w:num w:numId="6" w16cid:durableId="526871520">
    <w:abstractNumId w:val="0"/>
  </w:num>
  <w:num w:numId="7" w16cid:durableId="2069647243">
    <w:abstractNumId w:val="7"/>
  </w:num>
  <w:num w:numId="8" w16cid:durableId="411974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96"/>
    <w:rsid w:val="000225A2"/>
    <w:rsid w:val="00047858"/>
    <w:rsid w:val="000617CB"/>
    <w:rsid w:val="00073544"/>
    <w:rsid w:val="000E55AF"/>
    <w:rsid w:val="001C2097"/>
    <w:rsid w:val="001D65B9"/>
    <w:rsid w:val="001E2AB6"/>
    <w:rsid w:val="00207FEC"/>
    <w:rsid w:val="00226738"/>
    <w:rsid w:val="002412E3"/>
    <w:rsid w:val="00315C6E"/>
    <w:rsid w:val="00414481"/>
    <w:rsid w:val="004340BE"/>
    <w:rsid w:val="004559DE"/>
    <w:rsid w:val="004730C4"/>
    <w:rsid w:val="00496F82"/>
    <w:rsid w:val="00551DF1"/>
    <w:rsid w:val="00583CE5"/>
    <w:rsid w:val="00595164"/>
    <w:rsid w:val="00621771"/>
    <w:rsid w:val="00675C09"/>
    <w:rsid w:val="006B6988"/>
    <w:rsid w:val="006E1197"/>
    <w:rsid w:val="007962D1"/>
    <w:rsid w:val="007B1417"/>
    <w:rsid w:val="00803204"/>
    <w:rsid w:val="008222F4"/>
    <w:rsid w:val="0085224E"/>
    <w:rsid w:val="00885F16"/>
    <w:rsid w:val="008A4906"/>
    <w:rsid w:val="008F1523"/>
    <w:rsid w:val="00924FEC"/>
    <w:rsid w:val="00991303"/>
    <w:rsid w:val="009B41BC"/>
    <w:rsid w:val="00B02A96"/>
    <w:rsid w:val="00B35851"/>
    <w:rsid w:val="00B46BB4"/>
    <w:rsid w:val="00B85F8E"/>
    <w:rsid w:val="00BB031C"/>
    <w:rsid w:val="00C50774"/>
    <w:rsid w:val="00CD2228"/>
    <w:rsid w:val="00D21B78"/>
    <w:rsid w:val="00D807B9"/>
    <w:rsid w:val="00DB197B"/>
    <w:rsid w:val="00E57D0B"/>
    <w:rsid w:val="00F13847"/>
    <w:rsid w:val="00F302D9"/>
    <w:rsid w:val="00F774DF"/>
    <w:rsid w:val="00F9283A"/>
    <w:rsid w:val="00FC57AF"/>
    <w:rsid w:val="00FF5377"/>
    <w:rsid w:val="09BA471D"/>
    <w:rsid w:val="0D119C9B"/>
    <w:rsid w:val="10219D72"/>
    <w:rsid w:val="195E2B0E"/>
    <w:rsid w:val="1B5898BE"/>
    <w:rsid w:val="1C62A35B"/>
    <w:rsid w:val="225B3105"/>
    <w:rsid w:val="2860C98B"/>
    <w:rsid w:val="2DBF203F"/>
    <w:rsid w:val="2DCA6546"/>
    <w:rsid w:val="2E81B48B"/>
    <w:rsid w:val="3055048F"/>
    <w:rsid w:val="3654A903"/>
    <w:rsid w:val="3AF6E536"/>
    <w:rsid w:val="3EA3E7B3"/>
    <w:rsid w:val="4BDB5531"/>
    <w:rsid w:val="53919328"/>
    <w:rsid w:val="571DFEF7"/>
    <w:rsid w:val="5896D65A"/>
    <w:rsid w:val="5B00F2EB"/>
    <w:rsid w:val="5C9AE3E4"/>
    <w:rsid w:val="62CC4E0D"/>
    <w:rsid w:val="6F9C939F"/>
    <w:rsid w:val="74503B88"/>
    <w:rsid w:val="74BB0D2D"/>
    <w:rsid w:val="74FA2A02"/>
    <w:rsid w:val="7518E83F"/>
    <w:rsid w:val="7D6E8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B54E"/>
  <w15:docId w15:val="{739D6D93-CE9C-4124-B392-E05B3057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8"/>
      <w:ind w:left="2113" w:right="1505" w:firstLine="939"/>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283A"/>
    <w:rPr>
      <w:color w:val="0000FF" w:themeColor="hyperlink"/>
      <w:u w:val="single"/>
    </w:rPr>
  </w:style>
  <w:style w:type="character" w:styleId="UnresolvedMention">
    <w:name w:val="Unresolved Mention"/>
    <w:basedOn w:val="DefaultParagraphFont"/>
    <w:uiPriority w:val="99"/>
    <w:semiHidden/>
    <w:unhideWhenUsed/>
    <w:rsid w:val="00F9283A"/>
    <w:rPr>
      <w:color w:val="605E5C"/>
      <w:shd w:val="clear" w:color="auto" w:fill="E1DFDD"/>
    </w:rPr>
  </w:style>
  <w:style w:type="character" w:customStyle="1" w:styleId="BodyTextChar">
    <w:name w:val="Body Text Char"/>
    <w:basedOn w:val="DefaultParagraphFont"/>
    <w:link w:val="BodyText"/>
    <w:uiPriority w:val="1"/>
    <w:rsid w:val="004730C4"/>
    <w:rPr>
      <w:rFonts w:ascii="Calibri" w:eastAsia="Calibri" w:hAnsi="Calibri" w:cs="Calibri"/>
      <w:sz w:val="24"/>
      <w:szCs w:val="24"/>
    </w:rPr>
  </w:style>
  <w:style w:type="character" w:styleId="CommentReference">
    <w:name w:val="annotation reference"/>
    <w:basedOn w:val="DefaultParagraphFont"/>
    <w:uiPriority w:val="99"/>
    <w:semiHidden/>
    <w:unhideWhenUsed/>
    <w:rsid w:val="00885F16"/>
    <w:rPr>
      <w:sz w:val="16"/>
      <w:szCs w:val="16"/>
    </w:rPr>
  </w:style>
  <w:style w:type="paragraph" w:styleId="CommentText">
    <w:name w:val="annotation text"/>
    <w:basedOn w:val="Normal"/>
    <w:link w:val="CommentTextChar"/>
    <w:uiPriority w:val="99"/>
    <w:semiHidden/>
    <w:unhideWhenUsed/>
    <w:rsid w:val="00885F16"/>
    <w:rPr>
      <w:sz w:val="20"/>
      <w:szCs w:val="20"/>
    </w:rPr>
  </w:style>
  <w:style w:type="character" w:customStyle="1" w:styleId="CommentTextChar">
    <w:name w:val="Comment Text Char"/>
    <w:basedOn w:val="DefaultParagraphFont"/>
    <w:link w:val="CommentText"/>
    <w:uiPriority w:val="99"/>
    <w:semiHidden/>
    <w:rsid w:val="00885F1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5F16"/>
    <w:rPr>
      <w:b/>
      <w:bCs/>
    </w:rPr>
  </w:style>
  <w:style w:type="character" w:customStyle="1" w:styleId="CommentSubjectChar">
    <w:name w:val="Comment Subject Char"/>
    <w:basedOn w:val="CommentTextChar"/>
    <w:link w:val="CommentSubject"/>
    <w:uiPriority w:val="99"/>
    <w:semiHidden/>
    <w:rsid w:val="00885F16"/>
    <w:rPr>
      <w:rFonts w:ascii="Calibri" w:eastAsia="Calibri" w:hAnsi="Calibri" w:cs="Calibri"/>
      <w:b/>
      <w:bCs/>
      <w:sz w:val="20"/>
      <w:szCs w:val="20"/>
    </w:rPr>
  </w:style>
  <w:style w:type="character" w:customStyle="1" w:styleId="eop">
    <w:name w:val="eop"/>
    <w:basedOn w:val="DefaultParagraphFont"/>
    <w:uiPriority w:val="1"/>
    <w:rsid w:val="53919328"/>
  </w:style>
  <w:style w:type="table" w:styleId="TableGrid">
    <w:name w:val="Table Grid"/>
    <w:basedOn w:val="TableNormal"/>
    <w:uiPriority w:val="39"/>
    <w:rsid w:val="006E1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1197"/>
    <w:pPr>
      <w:spacing w:beforeAutospacing="1" w:after="160" w:afterAutospacing="1"/>
    </w:pPr>
    <w:rPr>
      <w:rFonts w:ascii="Times New Roman" w:eastAsia="Times New Roman" w:hAnsi="Times New Roman" w:cs="Times New Roman"/>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9055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ofannon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tyofannon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ityofannona@gmail.com" TargetMode="External"/><Relationship Id="rId4" Type="http://schemas.openxmlformats.org/officeDocument/2006/relationships/settings" Target="settings.xml"/><Relationship Id="rId9" Type="http://schemas.openxmlformats.org/officeDocument/2006/relationships/hyperlink" Target="mailto:cityofannon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A88B-B9A9-4063-AA8D-E833A5BCFB9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Lia Clark</cp:lastModifiedBy>
  <cp:revision>17</cp:revision>
  <dcterms:created xsi:type="dcterms:W3CDTF">2026-04-07T15:35:00Z</dcterms:created>
  <dcterms:modified xsi:type="dcterms:W3CDTF">2026-04-07T15:43:00Z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2013</vt:lpwstr>
  </property>
  <property fmtid="{D5CDD505-2E9C-101B-9397-08002B2CF9AE}" pid="4" name="LastSaved">
    <vt:filetime>2023-10-23T00:00:00Z</vt:filetime>
  </property>
  <property fmtid="{D5CDD505-2E9C-101B-9397-08002B2CF9AE}" pid="5" name="Producer">
    <vt:lpwstr>Microsoft® Word 2013</vt:lpwstr>
  </property>
</Properties>
</file>